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8C" w:rsidRPr="004F028C" w:rsidRDefault="004F028C" w:rsidP="004F028C">
      <w:pPr>
        <w:pageBreakBefore/>
        <w:tabs>
          <w:tab w:val="left" w:pos="5220"/>
        </w:tabs>
        <w:adjustRightInd w:val="0"/>
        <w:snapToGrid w:val="0"/>
        <w:spacing w:line="400" w:lineRule="exact"/>
        <w:jc w:val="center"/>
        <w:rPr>
          <w:rFonts w:ascii="Times New Roman" w:hAnsi="Times New Roman" w:hint="eastAsia"/>
          <w:color w:val="000000"/>
          <w:sz w:val="20"/>
          <w:szCs w:val="20"/>
        </w:rPr>
      </w:pPr>
      <w:bookmarkStart w:id="0" w:name="_GoBack"/>
      <w:bookmarkEnd w:id="0"/>
      <w:r w:rsidRPr="004F028C">
        <w:rPr>
          <w:rFonts w:ascii="標楷體" w:eastAsia="標楷體" w:hAnsi="標楷體" w:hint="eastAsia"/>
          <w:b/>
          <w:bCs/>
          <w:sz w:val="28"/>
          <w:szCs w:val="28"/>
        </w:rPr>
        <w:t>機關名稱）（單位/特種基金名稱）</w:t>
      </w:r>
      <w:r w:rsidRPr="004F028C">
        <w:rPr>
          <w:rFonts w:ascii="標楷體" w:eastAsia="標楷體" w:hAnsi="標楷體" w:hint="eastAsia"/>
          <w:b/>
          <w:bCs/>
          <w:color w:val="000000"/>
          <w:sz w:val="28"/>
          <w:szCs w:val="28"/>
        </w:rPr>
        <w:t>作業程序說明表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4F028C" w:rsidRPr="004F028C" w:rsidTr="00954A3A">
        <w:trPr>
          <w:trHeight w:val="485"/>
        </w:trPr>
        <w:tc>
          <w:tcPr>
            <w:tcW w:w="1368" w:type="dxa"/>
            <w:vAlign w:val="center"/>
          </w:tcPr>
          <w:p w:rsidR="004F028C" w:rsidRPr="004F028C" w:rsidRDefault="004F028C" w:rsidP="004F028C">
            <w:pPr>
              <w:snapToGrid w:val="0"/>
              <w:spacing w:line="400" w:lineRule="exact"/>
              <w:jc w:val="both"/>
              <w:rPr>
                <w:rFonts w:ascii="標楷體" w:eastAsia="標楷體" w:hAnsi="標楷體"/>
                <w:b/>
                <w:color w:val="000000"/>
                <w:sz w:val="28"/>
                <w:szCs w:val="28"/>
              </w:rPr>
            </w:pPr>
            <w:r w:rsidRPr="004F028C">
              <w:rPr>
                <w:rFonts w:ascii="標楷體" w:eastAsia="標楷體" w:hAnsi="標楷體" w:hint="eastAsia"/>
                <w:b/>
                <w:color w:val="000000"/>
                <w:sz w:val="28"/>
                <w:szCs w:val="28"/>
              </w:rPr>
              <w:t>項目編號</w:t>
            </w:r>
          </w:p>
        </w:tc>
        <w:tc>
          <w:tcPr>
            <w:tcW w:w="8352" w:type="dxa"/>
            <w:vAlign w:val="center"/>
          </w:tcPr>
          <w:p w:rsidR="004F028C" w:rsidRPr="004F028C" w:rsidRDefault="004F028C" w:rsidP="004F028C">
            <w:pPr>
              <w:snapToGrid w:val="0"/>
              <w:spacing w:line="400" w:lineRule="exact"/>
              <w:jc w:val="both"/>
              <w:rPr>
                <w:rFonts w:ascii="標楷體" w:eastAsia="標楷體" w:hAnsi="標楷體" w:hint="eastAsia"/>
                <w:color w:val="000000"/>
                <w:sz w:val="28"/>
                <w:szCs w:val="28"/>
              </w:rPr>
            </w:pPr>
            <w:r w:rsidRPr="004F028C">
              <w:rPr>
                <w:rFonts w:ascii="標楷體" w:eastAsia="標楷體" w:hAnsi="標楷體" w:hint="eastAsia"/>
                <w:color w:val="000000"/>
                <w:sz w:val="28"/>
                <w:szCs w:val="28"/>
              </w:rPr>
              <w:t>B05</w:t>
            </w:r>
          </w:p>
        </w:tc>
      </w:tr>
      <w:tr w:rsidR="004F028C" w:rsidRPr="004F028C" w:rsidTr="00954A3A">
        <w:trPr>
          <w:trHeight w:val="532"/>
        </w:trPr>
        <w:tc>
          <w:tcPr>
            <w:tcW w:w="1368" w:type="dxa"/>
          </w:tcPr>
          <w:p w:rsidR="004F028C" w:rsidRPr="004F028C" w:rsidRDefault="004F028C" w:rsidP="004F028C">
            <w:pPr>
              <w:snapToGrid w:val="0"/>
              <w:spacing w:line="400" w:lineRule="exact"/>
              <w:jc w:val="both"/>
              <w:rPr>
                <w:rFonts w:ascii="標楷體" w:eastAsia="標楷體" w:hAnsi="標楷體"/>
                <w:b/>
                <w:color w:val="000000"/>
                <w:sz w:val="28"/>
                <w:szCs w:val="28"/>
              </w:rPr>
            </w:pPr>
            <w:r w:rsidRPr="004F028C">
              <w:rPr>
                <w:rFonts w:ascii="標楷體" w:eastAsia="標楷體" w:hAnsi="標楷體" w:hint="eastAsia"/>
                <w:b/>
                <w:color w:val="000000"/>
                <w:sz w:val="28"/>
                <w:szCs w:val="28"/>
              </w:rPr>
              <w:t>項目名稱</w:t>
            </w:r>
          </w:p>
        </w:tc>
        <w:tc>
          <w:tcPr>
            <w:tcW w:w="8352" w:type="dxa"/>
          </w:tcPr>
          <w:p w:rsidR="004F028C" w:rsidRPr="004F028C" w:rsidRDefault="004F028C" w:rsidP="004F028C">
            <w:pPr>
              <w:snapToGrid w:val="0"/>
              <w:spacing w:after="100" w:afterAutospacing="1" w:line="400" w:lineRule="exact"/>
              <w:rPr>
                <w:rFonts w:ascii="標楷體" w:eastAsia="標楷體" w:hAnsi="標楷體"/>
                <w:color w:val="000000"/>
                <w:sz w:val="28"/>
                <w:szCs w:val="28"/>
              </w:rPr>
            </w:pPr>
            <w:r w:rsidRPr="004F028C">
              <w:rPr>
                <w:rFonts w:ascii="標楷體" w:eastAsia="標楷體" w:hAnsi="標楷體" w:hint="eastAsia"/>
                <w:snapToGrid w:val="0"/>
                <w:color w:val="000000"/>
                <w:sz w:val="28"/>
                <w:szCs w:val="28"/>
              </w:rPr>
              <w:t>附屬單位預算辦理保留作業</w:t>
            </w:r>
          </w:p>
        </w:tc>
      </w:tr>
      <w:tr w:rsidR="004F028C" w:rsidRPr="004F028C" w:rsidTr="00954A3A">
        <w:trPr>
          <w:trHeight w:val="508"/>
        </w:trPr>
        <w:tc>
          <w:tcPr>
            <w:tcW w:w="1368" w:type="dxa"/>
          </w:tcPr>
          <w:p w:rsidR="004F028C" w:rsidRPr="004F028C" w:rsidRDefault="004F028C" w:rsidP="004F028C">
            <w:pPr>
              <w:snapToGrid w:val="0"/>
              <w:spacing w:line="400" w:lineRule="exact"/>
              <w:jc w:val="both"/>
              <w:rPr>
                <w:rFonts w:ascii="標楷體" w:eastAsia="標楷體" w:hAnsi="標楷體" w:hint="eastAsia"/>
                <w:b/>
                <w:color w:val="000000"/>
                <w:sz w:val="28"/>
                <w:szCs w:val="28"/>
              </w:rPr>
            </w:pPr>
            <w:r w:rsidRPr="004F028C">
              <w:rPr>
                <w:rFonts w:ascii="標楷體" w:eastAsia="標楷體" w:hAnsi="標楷體" w:hint="eastAsia"/>
                <w:b/>
                <w:color w:val="000000"/>
                <w:sz w:val="28"/>
                <w:szCs w:val="28"/>
              </w:rPr>
              <w:t>承辦單位</w:t>
            </w:r>
          </w:p>
        </w:tc>
        <w:tc>
          <w:tcPr>
            <w:tcW w:w="8352" w:type="dxa"/>
          </w:tcPr>
          <w:p w:rsidR="004F028C" w:rsidRPr="004F028C" w:rsidRDefault="004F028C" w:rsidP="004F028C">
            <w:pPr>
              <w:snapToGrid w:val="0"/>
              <w:spacing w:line="400" w:lineRule="exact"/>
              <w:rPr>
                <w:rFonts w:ascii="標楷體" w:eastAsia="標楷體" w:hAnsi="標楷體" w:hint="eastAsia"/>
                <w:color w:val="000000"/>
                <w:sz w:val="28"/>
                <w:szCs w:val="28"/>
              </w:rPr>
            </w:pPr>
            <w:r w:rsidRPr="004F028C">
              <w:rPr>
                <w:rFonts w:ascii="Times New Roman" w:eastAsia="標楷體" w:hAnsi="Times New Roman" w:hint="eastAsia"/>
                <w:color w:val="000000"/>
                <w:sz w:val="28"/>
                <w:szCs w:val="28"/>
              </w:rPr>
              <w:t>主（會）計單位、各科室</w:t>
            </w:r>
          </w:p>
        </w:tc>
      </w:tr>
      <w:tr w:rsidR="004F028C" w:rsidRPr="004F028C" w:rsidTr="00954A3A">
        <w:trPr>
          <w:trHeight w:val="488"/>
        </w:trPr>
        <w:tc>
          <w:tcPr>
            <w:tcW w:w="1368" w:type="dxa"/>
          </w:tcPr>
          <w:p w:rsidR="004F028C" w:rsidRPr="004F028C" w:rsidRDefault="004F028C" w:rsidP="004F028C">
            <w:pPr>
              <w:snapToGrid w:val="0"/>
              <w:spacing w:line="400" w:lineRule="exact"/>
              <w:jc w:val="center"/>
              <w:rPr>
                <w:rFonts w:ascii="標楷體" w:eastAsia="標楷體" w:hAnsi="標楷體" w:hint="eastAsia"/>
                <w:b/>
                <w:color w:val="000000"/>
                <w:sz w:val="28"/>
                <w:szCs w:val="28"/>
              </w:rPr>
            </w:pPr>
            <w:r w:rsidRPr="004F028C">
              <w:rPr>
                <w:rFonts w:ascii="標楷體" w:eastAsia="標楷體" w:hAnsi="標楷體" w:hint="eastAsia"/>
                <w:b/>
                <w:color w:val="000000"/>
                <w:sz w:val="28"/>
                <w:szCs w:val="28"/>
              </w:rPr>
              <w:t>作業程序說明</w:t>
            </w:r>
          </w:p>
        </w:tc>
        <w:tc>
          <w:tcPr>
            <w:tcW w:w="8352" w:type="dxa"/>
          </w:tcPr>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一、會計年度終了後，會計單位應請申請單位就下列事項未及於當年度執行而有保留之必要者(包括本年度法定預算數、以前年度保留數及本年度奉准先行辦理數)，填具預算保留申請表(表一)，並敘明理由檢附契約或相關證明文件，送會計單位彙整。會計單位及權責單位依有關規定及申請單位提供之資料等進行審查，必要時應請申請單位修正或補充說明。</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(一)購建固定資產，已發生而尚未清償之債務、契約責任或繼續經費須轉入下年度執行者。</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(二)資金轉投資或處分。</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(三)長期債務舉借或償還。</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(四)資產(指固定資產、非營業資產或非業務用資產)之變賣。</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(五)業權型特種基金增資（增撥基金）或減資（折減基金）。</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二、經依上開作業流程審核後，如確有保留之必要，應簽奉基金主持人或其授權代簽人核轉，基金主管機關審核後，送本府核定。本府主計處</w:t>
            </w:r>
            <w:r w:rsidRPr="004F028C">
              <w:rPr>
                <w:rFonts w:ascii="Times New Roman" w:eastAsia="標楷體" w:hAnsi="Times New Roman" w:hint="eastAsia"/>
                <w:sz w:val="28"/>
                <w:szCs w:val="28"/>
              </w:rPr>
              <w:t>秉辦核定</w:t>
            </w:r>
            <w:r w:rsidRPr="004F028C">
              <w:rPr>
                <w:rFonts w:ascii="標楷體" w:eastAsia="標楷體" w:hAnsi="標楷體" w:hint="eastAsia"/>
                <w:snapToGrid w:val="0"/>
                <w:color w:val="000000"/>
                <w:sz w:val="28"/>
                <w:szCs w:val="28"/>
              </w:rPr>
              <w:t>副本抄送</w:t>
            </w:r>
            <w:r w:rsidRPr="004F028C">
              <w:rPr>
                <w:rFonts w:ascii="標楷體" w:eastAsia="標楷體" w:hAnsi="標楷體" w:hint="eastAsia"/>
                <w:snapToGrid w:val="0"/>
                <w:color w:val="000000"/>
                <w:szCs w:val="24"/>
              </w:rPr>
              <w:t>審計室</w:t>
            </w:r>
            <w:r w:rsidRPr="004F028C">
              <w:rPr>
                <w:rFonts w:ascii="標楷體" w:eastAsia="標楷體" w:hAnsi="標楷體" w:hint="eastAsia"/>
                <w:snapToGrid w:val="0"/>
                <w:color w:val="000000"/>
                <w:sz w:val="28"/>
                <w:szCs w:val="28"/>
              </w:rPr>
              <w:t>、本府財稅局。</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三、審核過程中如遇申請內容需修正且可修正時，退回修正後重新遞送。</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四、業務單位應依核定之預算保留數執行。</w:t>
            </w:r>
          </w:p>
          <w:p w:rsidR="004F028C" w:rsidRPr="004F028C" w:rsidRDefault="004F028C" w:rsidP="004F028C">
            <w:pPr>
              <w:adjustRightInd w:val="0"/>
              <w:spacing w:line="400" w:lineRule="exact"/>
              <w:ind w:leftChars="2" w:left="565" w:rightChars="20" w:right="48" w:hangingChars="200" w:hanging="560"/>
              <w:jc w:val="both"/>
              <w:rPr>
                <w:rFonts w:ascii="標楷體" w:eastAsia="標楷體" w:hAnsi="標楷體" w:hint="eastAsia"/>
                <w:snapToGrid w:val="0"/>
                <w:color w:val="000000"/>
                <w:sz w:val="28"/>
                <w:szCs w:val="28"/>
              </w:rPr>
            </w:pPr>
            <w:r w:rsidRPr="004F028C">
              <w:rPr>
                <w:rFonts w:ascii="標楷體" w:eastAsia="標楷體" w:hAnsi="標楷體" w:hint="eastAsia"/>
                <w:snapToGrid w:val="0"/>
                <w:color w:val="000000"/>
                <w:sz w:val="28"/>
                <w:szCs w:val="28"/>
              </w:rPr>
              <w:t>五、會計年度終了後，保留款未經核定前，已發生契約責任之案件，基於事實需要並依契約規定辦理付款者，得在原申請保留年度科目經費內，經基金主持人或授權代簽人核准後辦理；如申請之保留案件未奉核准，或僅部分核准者，其已支付或溢付之款項，應由各支用機關負責收回。</w:t>
            </w:r>
          </w:p>
        </w:tc>
      </w:tr>
      <w:tr w:rsidR="004F028C" w:rsidRPr="004F028C" w:rsidTr="00954A3A">
        <w:trPr>
          <w:trHeight w:val="530"/>
        </w:trPr>
        <w:tc>
          <w:tcPr>
            <w:tcW w:w="1368" w:type="dxa"/>
          </w:tcPr>
          <w:p w:rsidR="004F028C" w:rsidRPr="004F028C" w:rsidRDefault="004F028C" w:rsidP="004F028C">
            <w:pPr>
              <w:snapToGrid w:val="0"/>
              <w:spacing w:line="400" w:lineRule="exact"/>
              <w:jc w:val="both"/>
              <w:rPr>
                <w:rFonts w:ascii="標楷體" w:eastAsia="標楷體" w:hAnsi="標楷體"/>
                <w:b/>
                <w:color w:val="000000"/>
                <w:sz w:val="28"/>
                <w:szCs w:val="28"/>
              </w:rPr>
            </w:pPr>
            <w:r w:rsidRPr="004F028C">
              <w:rPr>
                <w:rFonts w:ascii="標楷體" w:eastAsia="標楷體" w:hAnsi="標楷體" w:hint="eastAsia"/>
                <w:b/>
                <w:color w:val="000000"/>
                <w:sz w:val="28"/>
                <w:szCs w:val="28"/>
              </w:rPr>
              <w:t>控制重點</w:t>
            </w:r>
          </w:p>
        </w:tc>
        <w:tc>
          <w:tcPr>
            <w:tcW w:w="8352" w:type="dxa"/>
          </w:tcPr>
          <w:p w:rsidR="004F028C" w:rsidRPr="004F028C" w:rsidRDefault="004F028C" w:rsidP="004F028C">
            <w:pPr>
              <w:snapToGrid w:val="0"/>
              <w:spacing w:line="400" w:lineRule="exact"/>
              <w:ind w:left="560" w:hangingChars="200" w:hanging="560"/>
              <w:jc w:val="both"/>
              <w:rPr>
                <w:rFonts w:ascii="標楷體" w:eastAsia="標楷體" w:hAnsi="標楷體" w:hint="eastAsia"/>
                <w:sz w:val="28"/>
                <w:szCs w:val="28"/>
              </w:rPr>
            </w:pPr>
            <w:r w:rsidRPr="004F028C">
              <w:rPr>
                <w:rFonts w:ascii="標楷體" w:eastAsia="標楷體" w:hAnsi="標楷體" w:hint="eastAsia"/>
                <w:sz w:val="28"/>
                <w:szCs w:val="28"/>
              </w:rPr>
              <w:t>一、申請預算保留之項目，應先確認有無符合預算法規定，於年度終了屆滿四年而未動用者，不得繼續保留。</w:t>
            </w:r>
          </w:p>
          <w:p w:rsidR="004F028C" w:rsidRPr="004F028C" w:rsidRDefault="004F028C" w:rsidP="004F028C">
            <w:pPr>
              <w:snapToGrid w:val="0"/>
              <w:spacing w:line="400" w:lineRule="exact"/>
              <w:ind w:left="560" w:hangingChars="200" w:hanging="560"/>
              <w:jc w:val="both"/>
              <w:rPr>
                <w:rFonts w:ascii="標楷體" w:eastAsia="標楷體" w:hAnsi="標楷體" w:hint="eastAsia"/>
                <w:sz w:val="28"/>
                <w:szCs w:val="28"/>
              </w:rPr>
            </w:pPr>
            <w:r w:rsidRPr="004F028C">
              <w:rPr>
                <w:rFonts w:ascii="標楷體" w:eastAsia="標楷體" w:hAnsi="標楷體" w:hint="eastAsia"/>
                <w:sz w:val="28"/>
                <w:szCs w:val="28"/>
              </w:rPr>
              <w:t>二、申請預算保留之項目，應符合附屬單位預算執行要點等相關規定。</w:t>
            </w:r>
          </w:p>
          <w:p w:rsidR="004F028C" w:rsidRPr="004F028C" w:rsidRDefault="004F028C" w:rsidP="004F028C">
            <w:pPr>
              <w:snapToGrid w:val="0"/>
              <w:spacing w:line="400" w:lineRule="exact"/>
              <w:ind w:left="560" w:hangingChars="200" w:hanging="560"/>
              <w:jc w:val="both"/>
              <w:rPr>
                <w:rFonts w:ascii="標楷體" w:eastAsia="標楷體" w:hAnsi="標楷體" w:hint="eastAsia"/>
                <w:sz w:val="28"/>
                <w:szCs w:val="28"/>
              </w:rPr>
            </w:pPr>
            <w:r w:rsidRPr="004F028C">
              <w:rPr>
                <w:rFonts w:ascii="標楷體" w:eastAsia="標楷體" w:hAnsi="標楷體" w:hint="eastAsia"/>
                <w:sz w:val="28"/>
                <w:szCs w:val="28"/>
              </w:rPr>
              <w:t>三、申請預算保留項目之事由及所提供之證明文件，應屬實及合理。</w:t>
            </w:r>
          </w:p>
          <w:p w:rsidR="004F028C" w:rsidRPr="004F028C" w:rsidRDefault="004F028C" w:rsidP="004F028C">
            <w:pPr>
              <w:snapToGrid w:val="0"/>
              <w:spacing w:line="400" w:lineRule="exact"/>
              <w:ind w:left="560" w:hangingChars="200" w:hanging="560"/>
              <w:jc w:val="both"/>
              <w:rPr>
                <w:rFonts w:ascii="標楷體" w:eastAsia="標楷體" w:hAnsi="標楷體" w:hint="eastAsia"/>
                <w:sz w:val="28"/>
                <w:szCs w:val="28"/>
              </w:rPr>
            </w:pPr>
            <w:r w:rsidRPr="004F028C">
              <w:rPr>
                <w:rFonts w:ascii="標楷體" w:eastAsia="標楷體" w:hAnsi="標楷體" w:hint="eastAsia"/>
                <w:sz w:val="28"/>
                <w:szCs w:val="28"/>
              </w:rPr>
              <w:t>四、預算保留申請表中，申請預算保留之項目，其累計執行數，加計申請保留轉入下年度支用數及停止執行數之合計數，應與本年度可用預算數相符。</w:t>
            </w:r>
          </w:p>
          <w:p w:rsidR="004F028C" w:rsidRPr="004F028C" w:rsidRDefault="004F028C" w:rsidP="004F028C">
            <w:pPr>
              <w:snapToGrid w:val="0"/>
              <w:spacing w:line="400" w:lineRule="exact"/>
              <w:ind w:left="560" w:hangingChars="200" w:hanging="560"/>
              <w:jc w:val="both"/>
              <w:rPr>
                <w:rFonts w:ascii="標楷體" w:eastAsia="標楷體" w:hAnsi="標楷體" w:hint="eastAsia"/>
                <w:sz w:val="28"/>
                <w:szCs w:val="28"/>
              </w:rPr>
            </w:pPr>
            <w:r w:rsidRPr="004F028C">
              <w:rPr>
                <w:rFonts w:ascii="標楷體" w:eastAsia="標楷體" w:hAnsi="標楷體" w:hint="eastAsia"/>
                <w:sz w:val="28"/>
                <w:szCs w:val="28"/>
              </w:rPr>
              <w:lastRenderedPageBreak/>
              <w:t>五、應於規定期限內檢附預算保留申請表及相關證明文件資料，向基金主管機關提出保留申請。</w:t>
            </w:r>
          </w:p>
          <w:p w:rsidR="004F028C" w:rsidRPr="004F028C" w:rsidRDefault="004F028C" w:rsidP="004F028C">
            <w:pPr>
              <w:snapToGrid w:val="0"/>
              <w:spacing w:line="400" w:lineRule="exact"/>
              <w:ind w:left="560" w:hangingChars="200" w:hanging="560"/>
              <w:jc w:val="both"/>
              <w:rPr>
                <w:rFonts w:ascii="標楷體" w:eastAsia="標楷體" w:hAnsi="標楷體" w:hint="eastAsia"/>
                <w:sz w:val="28"/>
                <w:szCs w:val="28"/>
              </w:rPr>
            </w:pPr>
            <w:r w:rsidRPr="004F028C">
              <w:rPr>
                <w:rFonts w:ascii="標楷體" w:eastAsia="標楷體" w:hAnsi="標楷體" w:hint="eastAsia"/>
                <w:sz w:val="28"/>
                <w:szCs w:val="28"/>
              </w:rPr>
              <w:t>六、會計年度終了後，保留款未經核定前，已發生契約責任之案件，基於事實需要並依契約規定辦理付款者，得在原申請保留年度科目經費內，經基金主持人或其授權代簽人核准後辦理；如申請之保留案件未奉核准，或僅部分核准者，其已支付或溢付之款項，應由各支用機關負責收回。</w:t>
            </w:r>
          </w:p>
        </w:tc>
      </w:tr>
      <w:tr w:rsidR="004F028C" w:rsidRPr="004F028C" w:rsidTr="00954A3A">
        <w:trPr>
          <w:trHeight w:val="600"/>
        </w:trPr>
        <w:tc>
          <w:tcPr>
            <w:tcW w:w="1368" w:type="dxa"/>
            <w:vAlign w:val="center"/>
          </w:tcPr>
          <w:p w:rsidR="004F028C" w:rsidRPr="004F028C" w:rsidRDefault="004F028C" w:rsidP="004F028C">
            <w:pPr>
              <w:snapToGrid w:val="0"/>
              <w:spacing w:line="400" w:lineRule="exact"/>
              <w:jc w:val="both"/>
              <w:rPr>
                <w:rFonts w:ascii="標楷體" w:eastAsia="標楷體" w:hAnsi="標楷體" w:hint="eastAsia"/>
                <w:b/>
                <w:color w:val="000000"/>
                <w:sz w:val="28"/>
                <w:szCs w:val="28"/>
              </w:rPr>
            </w:pPr>
            <w:r w:rsidRPr="004F028C">
              <w:rPr>
                <w:rFonts w:ascii="標楷體" w:eastAsia="標楷體" w:hAnsi="標楷體" w:hint="eastAsia"/>
                <w:b/>
                <w:color w:val="000000"/>
                <w:sz w:val="28"/>
                <w:szCs w:val="28"/>
              </w:rPr>
              <w:lastRenderedPageBreak/>
              <w:t>法令依據</w:t>
            </w:r>
          </w:p>
        </w:tc>
        <w:tc>
          <w:tcPr>
            <w:tcW w:w="8352" w:type="dxa"/>
            <w:vAlign w:val="center"/>
          </w:tcPr>
          <w:p w:rsidR="004F028C" w:rsidRPr="004F028C" w:rsidRDefault="004F028C" w:rsidP="004F028C">
            <w:pPr>
              <w:snapToGrid w:val="0"/>
              <w:spacing w:line="400" w:lineRule="exact"/>
              <w:ind w:left="560" w:hangingChars="200" w:hanging="560"/>
              <w:rPr>
                <w:rFonts w:ascii="標楷體" w:eastAsia="標楷體" w:hAnsi="標楷體" w:hint="eastAsia"/>
                <w:snapToGrid w:val="0"/>
                <w:sz w:val="28"/>
                <w:szCs w:val="28"/>
              </w:rPr>
            </w:pPr>
            <w:r w:rsidRPr="004F028C">
              <w:rPr>
                <w:rFonts w:ascii="標楷體" w:eastAsia="標楷體" w:hAnsi="標楷體" w:hint="eastAsia"/>
                <w:snapToGrid w:val="0"/>
                <w:sz w:val="28"/>
                <w:szCs w:val="28"/>
              </w:rPr>
              <w:t>一、預算法第72條、第90條。</w:t>
            </w:r>
          </w:p>
          <w:p w:rsidR="004F028C" w:rsidRPr="004F028C" w:rsidRDefault="004F028C" w:rsidP="004F028C">
            <w:pPr>
              <w:snapToGrid w:val="0"/>
              <w:spacing w:line="400" w:lineRule="exact"/>
              <w:ind w:left="560" w:hangingChars="200" w:hanging="560"/>
              <w:rPr>
                <w:rFonts w:ascii="標楷體" w:eastAsia="標楷體" w:hAnsi="標楷體" w:hint="eastAsia"/>
                <w:snapToGrid w:val="0"/>
                <w:sz w:val="28"/>
                <w:szCs w:val="28"/>
              </w:rPr>
            </w:pPr>
            <w:r w:rsidRPr="004F028C">
              <w:rPr>
                <w:rFonts w:ascii="標楷體" w:eastAsia="標楷體" w:hAnsi="標楷體" w:hint="eastAsia"/>
                <w:snapToGrid w:val="0"/>
                <w:sz w:val="28"/>
                <w:szCs w:val="28"/>
              </w:rPr>
              <w:t>二、決算法第7條。</w:t>
            </w:r>
          </w:p>
          <w:p w:rsidR="004F028C" w:rsidRPr="004F028C" w:rsidRDefault="004F028C" w:rsidP="004F028C">
            <w:pPr>
              <w:snapToGrid w:val="0"/>
              <w:spacing w:line="400" w:lineRule="exact"/>
              <w:ind w:left="420" w:hangingChars="150" w:hanging="420"/>
              <w:rPr>
                <w:rFonts w:ascii="標楷體" w:eastAsia="標楷體" w:hAnsi="標楷體" w:hint="eastAsia"/>
                <w:snapToGrid w:val="0"/>
                <w:sz w:val="28"/>
                <w:szCs w:val="28"/>
              </w:rPr>
            </w:pPr>
            <w:r w:rsidRPr="004F028C">
              <w:rPr>
                <w:rFonts w:ascii="標楷體" w:eastAsia="標楷體" w:hAnsi="標楷體" w:hint="eastAsia"/>
                <w:snapToGrid w:val="0"/>
                <w:sz w:val="28"/>
                <w:szCs w:val="28"/>
              </w:rPr>
              <w:t>三、直轄市及</w:t>
            </w:r>
            <w:r w:rsidRPr="004F028C">
              <w:rPr>
                <w:rFonts w:ascii="標楷體" w:eastAsia="標楷體" w:hAnsi="標楷體" w:hint="eastAsia"/>
                <w:sz w:val="28"/>
                <w:szCs w:val="28"/>
              </w:rPr>
              <w:t>縣（市）</w:t>
            </w:r>
            <w:r w:rsidRPr="004F028C">
              <w:rPr>
                <w:rFonts w:ascii="標楷體" w:eastAsia="標楷體" w:hAnsi="標楷體" w:hint="eastAsia"/>
                <w:snapToGrid w:val="0"/>
                <w:sz w:val="28"/>
                <w:szCs w:val="28"/>
              </w:rPr>
              <w:t>附屬單位預算執行要點。</w:t>
            </w:r>
          </w:p>
        </w:tc>
      </w:tr>
      <w:tr w:rsidR="004F028C" w:rsidRPr="004F028C" w:rsidTr="00954A3A">
        <w:trPr>
          <w:trHeight w:val="600"/>
        </w:trPr>
        <w:tc>
          <w:tcPr>
            <w:tcW w:w="1368" w:type="dxa"/>
            <w:vAlign w:val="center"/>
          </w:tcPr>
          <w:p w:rsidR="004F028C" w:rsidRPr="004F028C" w:rsidRDefault="004F028C" w:rsidP="004F028C">
            <w:pPr>
              <w:snapToGrid w:val="0"/>
              <w:spacing w:line="400" w:lineRule="exact"/>
              <w:jc w:val="both"/>
              <w:rPr>
                <w:rFonts w:ascii="標楷體" w:eastAsia="標楷體" w:hAnsi="標楷體" w:hint="eastAsia"/>
                <w:b/>
                <w:color w:val="000000"/>
                <w:sz w:val="28"/>
                <w:szCs w:val="28"/>
              </w:rPr>
            </w:pPr>
            <w:r w:rsidRPr="004F028C">
              <w:rPr>
                <w:rFonts w:ascii="標楷體" w:eastAsia="標楷體" w:hAnsi="標楷體" w:hint="eastAsia"/>
                <w:b/>
                <w:color w:val="000000"/>
                <w:sz w:val="28"/>
                <w:szCs w:val="28"/>
              </w:rPr>
              <w:t>使用表單</w:t>
            </w:r>
          </w:p>
        </w:tc>
        <w:tc>
          <w:tcPr>
            <w:tcW w:w="8352" w:type="dxa"/>
            <w:vAlign w:val="center"/>
          </w:tcPr>
          <w:p w:rsidR="004F028C" w:rsidRPr="004F028C" w:rsidRDefault="004F028C" w:rsidP="004F028C">
            <w:pPr>
              <w:snapToGrid w:val="0"/>
              <w:spacing w:line="400" w:lineRule="exact"/>
              <w:jc w:val="both"/>
              <w:rPr>
                <w:rFonts w:ascii="標楷體" w:eastAsia="標楷體" w:hAnsi="標楷體" w:hint="eastAsia"/>
                <w:snapToGrid w:val="0"/>
                <w:color w:val="000000"/>
                <w:sz w:val="28"/>
                <w:szCs w:val="28"/>
              </w:rPr>
            </w:pPr>
            <w:r w:rsidRPr="004F028C">
              <w:rPr>
                <w:rFonts w:ascii="標楷體" w:eastAsia="標楷體" w:hAnsi="標楷體" w:hint="eastAsia"/>
                <w:color w:val="000000"/>
                <w:sz w:val="28"/>
                <w:szCs w:val="28"/>
              </w:rPr>
              <w:t>預算保留申請表。</w:t>
            </w:r>
          </w:p>
        </w:tc>
      </w:tr>
    </w:tbl>
    <w:p w:rsidR="004F028C" w:rsidRPr="004F028C" w:rsidRDefault="004F028C" w:rsidP="004F028C">
      <w:pPr>
        <w:tabs>
          <w:tab w:val="left" w:pos="5220"/>
        </w:tabs>
        <w:adjustRightInd w:val="0"/>
        <w:snapToGrid w:val="0"/>
        <w:spacing w:line="0" w:lineRule="atLeast"/>
        <w:rPr>
          <w:rFonts w:ascii="Times New Roman" w:hAnsi="Times New Roman"/>
          <w:color w:val="000000"/>
          <w:sz w:val="20"/>
          <w:szCs w:val="20"/>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widowControl/>
        <w:ind w:firstLineChars="253" w:firstLine="709"/>
        <w:rPr>
          <w:rFonts w:ascii="標楷體" w:eastAsia="標楷體" w:hAnsi="標楷體"/>
          <w:b/>
          <w:bCs/>
          <w:color w:val="000000"/>
          <w:sz w:val="28"/>
          <w:szCs w:val="28"/>
        </w:rPr>
      </w:pPr>
      <w:r>
        <w:rPr>
          <w:rFonts w:ascii="標楷體" w:eastAsia="標楷體" w:hAnsi="標楷體"/>
          <w:b/>
          <w:bCs/>
          <w:color w:val="000000"/>
          <w:sz w:val="28"/>
          <w:szCs w:val="28"/>
        </w:rPr>
        <w:br w:type="page"/>
      </w:r>
      <w:r w:rsidR="008B037A" w:rsidRPr="00230A41">
        <w:rPr>
          <w:noProof/>
        </w:rPr>
        <w:lastRenderedPageBreak/>
        <w:drawing>
          <wp:inline distT="0" distB="0" distL="0" distR="0">
            <wp:extent cx="4974590" cy="8098155"/>
            <wp:effectExtent l="0" t="0" r="0" b="0"/>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4590" cy="8098155"/>
                    </a:xfrm>
                    <a:prstGeom prst="rect">
                      <a:avLst/>
                    </a:prstGeom>
                    <a:noFill/>
                    <a:ln>
                      <a:noFill/>
                    </a:ln>
                  </pic:spPr>
                </pic:pic>
              </a:graphicData>
            </a:graphic>
          </wp:inline>
        </w:drawing>
      </w: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F30626" w:rsidRDefault="00F30626"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b/>
          <w:bCs/>
          <w:color w:val="000000"/>
          <w:sz w:val="28"/>
          <w:szCs w:val="28"/>
        </w:rPr>
      </w:pPr>
    </w:p>
    <w:p w:rsidR="004F028C" w:rsidRDefault="004F028C" w:rsidP="004F028C">
      <w:pPr>
        <w:spacing w:line="280" w:lineRule="exact"/>
        <w:ind w:leftChars="75" w:left="180" w:rightChars="225" w:right="540" w:firstLineChars="180" w:firstLine="504"/>
        <w:jc w:val="center"/>
        <w:rPr>
          <w:rFonts w:ascii="標楷體" w:eastAsia="標楷體" w:hAnsi="標楷體" w:hint="eastAsia"/>
          <w:b/>
          <w:bCs/>
          <w:color w:val="000000"/>
          <w:sz w:val="28"/>
          <w:szCs w:val="28"/>
        </w:rPr>
      </w:pPr>
    </w:p>
    <w:p w:rsidR="004F028C" w:rsidRPr="004F028C" w:rsidRDefault="004F028C" w:rsidP="004F028C">
      <w:pPr>
        <w:widowControl/>
        <w:spacing w:line="440" w:lineRule="exact"/>
        <w:ind w:leftChars="75" w:left="718" w:hangingChars="192" w:hanging="538"/>
        <w:jc w:val="center"/>
        <w:rPr>
          <w:rFonts w:ascii="標楷體" w:eastAsia="標楷體" w:hAnsi="標楷體" w:cs="新細明體" w:hint="eastAsia"/>
          <w:b/>
          <w:color w:val="000000"/>
          <w:sz w:val="28"/>
          <w:szCs w:val="28"/>
        </w:rPr>
      </w:pPr>
      <w:r w:rsidRPr="004F028C">
        <w:rPr>
          <w:rFonts w:ascii="標楷體" w:eastAsia="標楷體" w:hAnsi="標楷體" w:cs="新細明體" w:hint="eastAsia"/>
          <w:b/>
          <w:bCs/>
          <w:kern w:val="0"/>
          <w:sz w:val="28"/>
          <w:szCs w:val="28"/>
        </w:rPr>
        <w:lastRenderedPageBreak/>
        <w:t>（機關名稱）（單位/特種基金名稱）</w:t>
      </w:r>
      <w:r w:rsidRPr="004F028C">
        <w:rPr>
          <w:rFonts w:ascii="標楷體" w:eastAsia="標楷體" w:hAnsi="標楷體" w:cs="新細明體" w:hint="eastAsia"/>
          <w:b/>
          <w:color w:val="000000"/>
          <w:sz w:val="28"/>
          <w:szCs w:val="28"/>
        </w:rPr>
        <w:t>內部控制制度自行</w:t>
      </w:r>
      <w:r w:rsidRPr="004F028C">
        <w:rPr>
          <w:rFonts w:ascii="新細明體" w:eastAsia="標楷體" w:hAnsi="新細明體" w:cs="新細明體" w:hint="eastAsia"/>
          <w:b/>
          <w:color w:val="000000"/>
          <w:kern w:val="0"/>
          <w:sz w:val="28"/>
          <w:szCs w:val="28"/>
        </w:rPr>
        <w:t>評估表</w:t>
      </w:r>
    </w:p>
    <w:p w:rsidR="004F028C" w:rsidRPr="004F028C" w:rsidRDefault="004F028C" w:rsidP="004F028C">
      <w:pPr>
        <w:widowControl/>
        <w:spacing w:line="360" w:lineRule="exact"/>
        <w:ind w:leftChars="75" w:left="641" w:hangingChars="192" w:hanging="461"/>
        <w:jc w:val="center"/>
        <w:rPr>
          <w:rFonts w:ascii="標楷體" w:eastAsia="標楷體" w:hAnsi="標楷體" w:cs="新細明體" w:hint="eastAsia"/>
          <w:b/>
          <w:color w:val="000000"/>
          <w:sz w:val="28"/>
          <w:szCs w:val="28"/>
        </w:rPr>
      </w:pPr>
      <w:r w:rsidRPr="004F028C">
        <w:rPr>
          <w:rFonts w:ascii="標楷體" w:eastAsia="標楷體" w:hAnsi="標楷體" w:cs="新細明體" w:hint="eastAsia"/>
          <w:color w:val="000000"/>
          <w:szCs w:val="24"/>
          <w:u w:val="single"/>
        </w:rPr>
        <w:t xml:space="preserve">     </w:t>
      </w:r>
      <w:r w:rsidRPr="004F028C">
        <w:rPr>
          <w:rFonts w:ascii="標楷體" w:eastAsia="標楷體" w:hAnsi="標楷體" w:cs="新細明體" w:hint="eastAsia"/>
          <w:color w:val="000000"/>
          <w:szCs w:val="24"/>
        </w:rPr>
        <w:t>年度</w:t>
      </w:r>
    </w:p>
    <w:p w:rsidR="004F028C" w:rsidRPr="004F028C" w:rsidRDefault="004F028C" w:rsidP="004F028C">
      <w:pPr>
        <w:widowControl/>
        <w:spacing w:line="360" w:lineRule="exact"/>
        <w:ind w:leftChars="75" w:left="641" w:hangingChars="192" w:hanging="461"/>
        <w:rPr>
          <w:rFonts w:ascii="標楷體" w:eastAsia="標楷體" w:hAnsi="標楷體" w:cs="新細明體" w:hint="eastAsia"/>
          <w:color w:val="000000"/>
          <w:szCs w:val="24"/>
          <w:u w:val="single"/>
        </w:rPr>
      </w:pPr>
      <w:r w:rsidRPr="004F028C">
        <w:rPr>
          <w:rFonts w:ascii="標楷體" w:eastAsia="標楷體" w:hAnsi="標楷體" w:cs="新細明體" w:hint="eastAsia"/>
          <w:color w:val="000000"/>
          <w:szCs w:val="24"/>
        </w:rPr>
        <w:t>自行評估單位：</w:t>
      </w:r>
      <w:r w:rsidRPr="004F028C">
        <w:rPr>
          <w:rFonts w:ascii="標楷體" w:eastAsia="標楷體" w:hAnsi="標楷體" w:cs="新細明體" w:hint="eastAsia"/>
          <w:color w:val="000000"/>
          <w:szCs w:val="24"/>
          <w:u w:val="single"/>
        </w:rPr>
        <w:t>主（會）計單位</w:t>
      </w:r>
    </w:p>
    <w:p w:rsidR="004F028C" w:rsidRPr="004F028C" w:rsidRDefault="004F028C" w:rsidP="004F028C">
      <w:pPr>
        <w:widowControl/>
        <w:spacing w:line="360" w:lineRule="exact"/>
        <w:ind w:leftChars="75" w:left="641" w:hangingChars="192" w:hanging="461"/>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作業類別(項目)：</w:t>
      </w:r>
      <w:r w:rsidRPr="004F028C">
        <w:rPr>
          <w:rFonts w:ascii="標楷體" w:eastAsia="標楷體" w:hAnsi="標楷體" w:cs="新細明體" w:hint="eastAsia"/>
          <w:color w:val="000000"/>
          <w:szCs w:val="24"/>
          <w:u w:val="single"/>
        </w:rPr>
        <w:t>附屬單位預算辦理保留作業</w:t>
      </w:r>
      <w:r w:rsidRPr="004F028C">
        <w:rPr>
          <w:rFonts w:ascii="標楷體" w:eastAsia="標楷體" w:hAnsi="標楷體" w:cs="新細明體" w:hint="eastAsia"/>
          <w:color w:val="000000"/>
          <w:szCs w:val="24"/>
        </w:rPr>
        <w:t xml:space="preserve">            評估日期：</w:t>
      </w:r>
      <w:r w:rsidRPr="004F028C">
        <w:rPr>
          <w:rFonts w:ascii="標楷體" w:eastAsia="標楷體" w:hAnsi="標楷體" w:cs="新細明體" w:hint="eastAsia"/>
          <w:color w:val="000000"/>
          <w:szCs w:val="24"/>
          <w:u w:val="single"/>
        </w:rPr>
        <w:t xml:space="preserve">  </w:t>
      </w:r>
      <w:r w:rsidRPr="004F028C">
        <w:rPr>
          <w:rFonts w:ascii="標楷體" w:eastAsia="標楷體" w:hAnsi="標楷體" w:cs="新細明體" w:hint="eastAsia"/>
          <w:color w:val="000000"/>
          <w:szCs w:val="24"/>
        </w:rPr>
        <w:t>年</w:t>
      </w:r>
      <w:r w:rsidRPr="004F028C">
        <w:rPr>
          <w:rFonts w:ascii="標楷體" w:eastAsia="標楷體" w:hAnsi="標楷體" w:cs="新細明體" w:hint="eastAsia"/>
          <w:color w:val="000000"/>
          <w:szCs w:val="24"/>
          <w:u w:val="single"/>
        </w:rPr>
        <w:t xml:space="preserve">  </w:t>
      </w:r>
      <w:r w:rsidRPr="004F028C">
        <w:rPr>
          <w:rFonts w:ascii="標楷體" w:eastAsia="標楷體" w:hAnsi="標楷體" w:cs="新細明體" w:hint="eastAsia"/>
          <w:color w:val="000000"/>
          <w:szCs w:val="24"/>
        </w:rPr>
        <w:t>月</w:t>
      </w:r>
      <w:r w:rsidRPr="004F028C">
        <w:rPr>
          <w:rFonts w:ascii="標楷體" w:eastAsia="標楷體" w:hAnsi="標楷體" w:cs="新細明體" w:hint="eastAsia"/>
          <w:color w:val="000000"/>
          <w:szCs w:val="24"/>
          <w:u w:val="single"/>
        </w:rPr>
        <w:t xml:space="preserve">  </w:t>
      </w:r>
      <w:r w:rsidRPr="004F028C">
        <w:rPr>
          <w:rFonts w:ascii="標楷體" w:eastAsia="標楷體" w:hAnsi="標楷體" w:cs="新細明體" w:hint="eastAsia"/>
          <w:color w:val="000000"/>
          <w:szCs w:val="24"/>
        </w:rPr>
        <w:t>日</w:t>
      </w:r>
    </w:p>
    <w:p w:rsidR="004F028C" w:rsidRPr="004F028C" w:rsidRDefault="004F028C" w:rsidP="004F028C">
      <w:pPr>
        <w:widowControl/>
        <w:spacing w:line="240" w:lineRule="exact"/>
        <w:ind w:leftChars="75" w:left="487" w:hangingChars="192" w:hanging="307"/>
        <w:rPr>
          <w:rFonts w:ascii="標楷體" w:eastAsia="標楷體" w:hAnsi="標楷體" w:cs="新細明體" w:hint="eastAsia"/>
          <w:color w:val="000000"/>
          <w:sz w:val="16"/>
          <w:szCs w:val="16"/>
        </w:rPr>
      </w:pPr>
    </w:p>
    <w:tbl>
      <w:tblPr>
        <w:tblW w:w="94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900"/>
        <w:gridCol w:w="900"/>
        <w:gridCol w:w="2921"/>
      </w:tblGrid>
      <w:tr w:rsidR="004F028C" w:rsidRPr="004F028C" w:rsidTr="00954A3A">
        <w:trPr>
          <w:cantSplit/>
        </w:trPr>
        <w:tc>
          <w:tcPr>
            <w:tcW w:w="4680" w:type="dxa"/>
            <w:vMerge w:val="restart"/>
            <w:vAlign w:val="center"/>
          </w:tcPr>
          <w:p w:rsidR="004F028C" w:rsidRPr="004F028C" w:rsidRDefault="004F028C" w:rsidP="004F028C">
            <w:pPr>
              <w:widowControl/>
              <w:spacing w:line="440" w:lineRule="exact"/>
              <w:jc w:val="center"/>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評估重點</w:t>
            </w:r>
          </w:p>
        </w:tc>
        <w:tc>
          <w:tcPr>
            <w:tcW w:w="1800" w:type="dxa"/>
            <w:gridSpan w:val="2"/>
          </w:tcPr>
          <w:p w:rsidR="004F028C" w:rsidRPr="004F028C" w:rsidRDefault="004F028C" w:rsidP="004F028C">
            <w:pPr>
              <w:widowControl/>
              <w:spacing w:line="440" w:lineRule="exact"/>
              <w:jc w:val="center"/>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自行評估情形</w:t>
            </w:r>
          </w:p>
        </w:tc>
        <w:tc>
          <w:tcPr>
            <w:tcW w:w="2921" w:type="dxa"/>
            <w:vMerge w:val="restart"/>
            <w:vAlign w:val="center"/>
          </w:tcPr>
          <w:p w:rsidR="004F028C" w:rsidRPr="004F028C" w:rsidRDefault="004F028C" w:rsidP="004F028C">
            <w:pPr>
              <w:widowControl/>
              <w:spacing w:line="440" w:lineRule="exact"/>
              <w:jc w:val="center"/>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評估情形說明</w:t>
            </w:r>
          </w:p>
        </w:tc>
      </w:tr>
      <w:tr w:rsidR="004F028C" w:rsidRPr="004F028C" w:rsidTr="00954A3A">
        <w:trPr>
          <w:cantSplit/>
          <w:trHeight w:val="297"/>
        </w:trPr>
        <w:tc>
          <w:tcPr>
            <w:tcW w:w="4680" w:type="dxa"/>
            <w:vMerge/>
            <w:tcBorders>
              <w:bottom w:val="single" w:sz="4" w:space="0" w:color="auto"/>
            </w:tcBorders>
          </w:tcPr>
          <w:p w:rsidR="004F028C" w:rsidRPr="004F028C" w:rsidRDefault="004F028C" w:rsidP="004F028C">
            <w:pPr>
              <w:widowControl/>
              <w:spacing w:line="440" w:lineRule="exact"/>
              <w:rPr>
                <w:rFonts w:ascii="標楷體" w:eastAsia="標楷體" w:hAnsi="標楷體" w:cs="新細明體" w:hint="eastAsia"/>
                <w:color w:val="000000"/>
                <w:szCs w:val="24"/>
              </w:rPr>
            </w:pPr>
          </w:p>
        </w:tc>
        <w:tc>
          <w:tcPr>
            <w:tcW w:w="900" w:type="dxa"/>
            <w:tcBorders>
              <w:bottom w:val="single" w:sz="4" w:space="0" w:color="auto"/>
            </w:tcBorders>
          </w:tcPr>
          <w:p w:rsidR="004F028C" w:rsidRPr="004F028C" w:rsidRDefault="004F028C" w:rsidP="004F028C">
            <w:pPr>
              <w:widowControl/>
              <w:spacing w:line="360" w:lineRule="exact"/>
              <w:jc w:val="center"/>
              <w:rPr>
                <w:rFonts w:ascii="標楷體" w:eastAsia="標楷體" w:hAnsi="標楷體" w:cs="新細明體" w:hint="eastAsia"/>
                <w:color w:val="000000"/>
                <w:sz w:val="20"/>
                <w:szCs w:val="20"/>
              </w:rPr>
            </w:pPr>
            <w:r w:rsidRPr="004F028C">
              <w:rPr>
                <w:rFonts w:ascii="標楷體" w:eastAsia="標楷體" w:hAnsi="標楷體" w:cs="新細明體" w:hint="eastAsia"/>
                <w:color w:val="000000"/>
                <w:sz w:val="20"/>
                <w:szCs w:val="20"/>
              </w:rPr>
              <w:t>符合</w:t>
            </w:r>
          </w:p>
        </w:tc>
        <w:tc>
          <w:tcPr>
            <w:tcW w:w="900" w:type="dxa"/>
            <w:tcBorders>
              <w:bottom w:val="single" w:sz="4" w:space="0" w:color="auto"/>
            </w:tcBorders>
          </w:tcPr>
          <w:p w:rsidR="004F028C" w:rsidRPr="004F028C" w:rsidRDefault="004F028C" w:rsidP="004F028C">
            <w:pPr>
              <w:widowControl/>
              <w:spacing w:line="360" w:lineRule="exact"/>
              <w:jc w:val="center"/>
              <w:rPr>
                <w:rFonts w:ascii="標楷體" w:eastAsia="標楷體" w:hAnsi="標楷體" w:cs="新細明體" w:hint="eastAsia"/>
                <w:color w:val="000000"/>
                <w:sz w:val="20"/>
                <w:szCs w:val="20"/>
              </w:rPr>
            </w:pPr>
            <w:r w:rsidRPr="004F028C">
              <w:rPr>
                <w:rFonts w:ascii="標楷體" w:eastAsia="標楷體" w:hAnsi="標楷體" w:cs="新細明體" w:hint="eastAsia"/>
                <w:color w:val="000000"/>
                <w:sz w:val="20"/>
                <w:szCs w:val="20"/>
              </w:rPr>
              <w:t>未符合</w:t>
            </w:r>
          </w:p>
        </w:tc>
        <w:tc>
          <w:tcPr>
            <w:tcW w:w="2921" w:type="dxa"/>
            <w:vMerge/>
            <w:tcBorders>
              <w:bottom w:val="single" w:sz="4" w:space="0" w:color="auto"/>
            </w:tcBorders>
          </w:tcPr>
          <w:p w:rsidR="004F028C" w:rsidRPr="004F028C" w:rsidRDefault="004F028C" w:rsidP="004F028C">
            <w:pPr>
              <w:widowControl/>
              <w:spacing w:line="440" w:lineRule="exact"/>
              <w:rPr>
                <w:rFonts w:ascii="標楷體" w:eastAsia="標楷體" w:hAnsi="標楷體" w:cs="新細明體" w:hint="eastAsia"/>
                <w:color w:val="000000"/>
                <w:szCs w:val="24"/>
              </w:rPr>
            </w:pPr>
          </w:p>
        </w:tc>
      </w:tr>
      <w:tr w:rsidR="004F028C" w:rsidRPr="004F028C" w:rsidTr="00954A3A">
        <w:tc>
          <w:tcPr>
            <w:tcW w:w="4680" w:type="dxa"/>
            <w:tcBorders>
              <w:top w:val="nil"/>
              <w:bottom w:val="nil"/>
            </w:tcBorders>
          </w:tcPr>
          <w:p w:rsidR="004F028C" w:rsidRPr="004F028C" w:rsidRDefault="004F028C" w:rsidP="004F028C">
            <w:pPr>
              <w:widowControl/>
              <w:spacing w:line="320" w:lineRule="exact"/>
              <w:ind w:left="432" w:hangingChars="180" w:hanging="432"/>
              <w:jc w:val="both"/>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一、作業流程有效性</w:t>
            </w:r>
          </w:p>
        </w:tc>
        <w:tc>
          <w:tcPr>
            <w:tcW w:w="900"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c>
          <w:tcPr>
            <w:tcW w:w="900"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c>
          <w:tcPr>
            <w:tcW w:w="2921"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r>
      <w:tr w:rsidR="004F028C" w:rsidRPr="004F028C" w:rsidTr="00954A3A">
        <w:tc>
          <w:tcPr>
            <w:tcW w:w="4680" w:type="dxa"/>
            <w:tcBorders>
              <w:top w:val="nil"/>
              <w:bottom w:val="nil"/>
            </w:tcBorders>
          </w:tcPr>
          <w:p w:rsidR="004F028C" w:rsidRPr="004F028C" w:rsidRDefault="004F028C" w:rsidP="004F028C">
            <w:pPr>
              <w:widowControl/>
              <w:spacing w:line="320" w:lineRule="exact"/>
              <w:ind w:left="432" w:hangingChars="180" w:hanging="432"/>
              <w:jc w:val="both"/>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(一)作業程序說明表及作業流程圖之製作是否與規定相符。</w:t>
            </w:r>
          </w:p>
          <w:p w:rsidR="004F028C" w:rsidRPr="004F028C" w:rsidRDefault="004F028C" w:rsidP="004F028C">
            <w:pPr>
              <w:widowControl/>
              <w:spacing w:line="320" w:lineRule="exact"/>
              <w:ind w:left="432" w:hangingChars="180" w:hanging="432"/>
              <w:jc w:val="both"/>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(二)內部控制制度是否有效設計及執行。</w:t>
            </w:r>
          </w:p>
        </w:tc>
        <w:tc>
          <w:tcPr>
            <w:tcW w:w="900"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c>
          <w:tcPr>
            <w:tcW w:w="900"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c>
          <w:tcPr>
            <w:tcW w:w="2921"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r>
      <w:tr w:rsidR="004F028C" w:rsidRPr="004F028C" w:rsidTr="00954A3A">
        <w:tc>
          <w:tcPr>
            <w:tcW w:w="4680" w:type="dxa"/>
            <w:tcBorders>
              <w:bottom w:val="nil"/>
            </w:tcBorders>
          </w:tcPr>
          <w:p w:rsidR="004F028C" w:rsidRPr="004F028C" w:rsidRDefault="004F028C" w:rsidP="004F028C">
            <w:pPr>
              <w:widowControl/>
              <w:spacing w:line="320" w:lineRule="exact"/>
              <w:jc w:val="both"/>
              <w:rPr>
                <w:rFonts w:ascii="標楷體" w:eastAsia="標楷體" w:hAnsi="標楷體" w:cs="新細明體" w:hint="eastAsia"/>
                <w:color w:val="000000"/>
                <w:szCs w:val="24"/>
              </w:rPr>
            </w:pPr>
            <w:r w:rsidRPr="004F028C">
              <w:rPr>
                <w:rFonts w:ascii="標楷體" w:eastAsia="標楷體" w:hAnsi="標楷體" w:cs="新細明體" w:hint="eastAsia"/>
                <w:color w:val="000000"/>
                <w:kern w:val="0"/>
                <w:szCs w:val="24"/>
              </w:rPr>
              <w:t>二、附屬單位預算辦理預算保留作業</w:t>
            </w:r>
          </w:p>
        </w:tc>
        <w:tc>
          <w:tcPr>
            <w:tcW w:w="900" w:type="dxa"/>
            <w:tcBorders>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c>
          <w:tcPr>
            <w:tcW w:w="900" w:type="dxa"/>
            <w:tcBorders>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c>
          <w:tcPr>
            <w:tcW w:w="2921" w:type="dxa"/>
            <w:tcBorders>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r>
      <w:tr w:rsidR="004F028C" w:rsidRPr="004F028C" w:rsidTr="00954A3A">
        <w:tc>
          <w:tcPr>
            <w:tcW w:w="4680" w:type="dxa"/>
            <w:tcBorders>
              <w:top w:val="nil"/>
              <w:bottom w:val="nil"/>
            </w:tcBorders>
          </w:tcPr>
          <w:p w:rsidR="004F028C" w:rsidRPr="004F028C" w:rsidRDefault="004F028C" w:rsidP="004F028C">
            <w:pPr>
              <w:snapToGrid w:val="0"/>
              <w:spacing w:line="320" w:lineRule="exact"/>
              <w:ind w:left="480" w:hangingChars="200" w:hanging="480"/>
              <w:jc w:val="both"/>
              <w:rPr>
                <w:rFonts w:ascii="標楷體" w:eastAsia="標楷體" w:hAnsi="標楷體" w:hint="eastAsia"/>
                <w:color w:val="000000"/>
                <w:szCs w:val="24"/>
              </w:rPr>
            </w:pPr>
            <w:r w:rsidRPr="004F028C">
              <w:rPr>
                <w:rFonts w:ascii="標楷體" w:eastAsia="標楷體" w:hAnsi="標楷體" w:hint="eastAsia"/>
                <w:color w:val="000000"/>
                <w:szCs w:val="24"/>
              </w:rPr>
              <w:t>(一)申請預算保留之項目，是否先確認有無符合預算法規定，於年度終了屆滿四年而未動用者，不得繼續保留。</w:t>
            </w:r>
          </w:p>
          <w:p w:rsidR="004F028C" w:rsidRPr="004F028C" w:rsidRDefault="004F028C" w:rsidP="004F028C">
            <w:pPr>
              <w:snapToGrid w:val="0"/>
              <w:spacing w:line="320" w:lineRule="exact"/>
              <w:ind w:left="480" w:hangingChars="200" w:hanging="480"/>
              <w:jc w:val="both"/>
              <w:rPr>
                <w:rFonts w:ascii="標楷體" w:eastAsia="標楷體" w:hAnsi="標楷體" w:hint="eastAsia"/>
                <w:color w:val="000000"/>
                <w:szCs w:val="24"/>
              </w:rPr>
            </w:pPr>
            <w:r w:rsidRPr="004F028C">
              <w:rPr>
                <w:rFonts w:ascii="標楷體" w:eastAsia="標楷體" w:hAnsi="標楷體" w:hint="eastAsia"/>
                <w:color w:val="000000"/>
                <w:szCs w:val="24"/>
              </w:rPr>
              <w:t>(二)申請預算保留之項目，是否符合附屬單位預算執行要點等相關規定。</w:t>
            </w:r>
          </w:p>
          <w:p w:rsidR="004F028C" w:rsidRPr="004F028C" w:rsidRDefault="004F028C" w:rsidP="004F028C">
            <w:pPr>
              <w:snapToGrid w:val="0"/>
              <w:spacing w:line="320" w:lineRule="exact"/>
              <w:ind w:left="480" w:hangingChars="200" w:hanging="480"/>
              <w:jc w:val="both"/>
              <w:rPr>
                <w:rFonts w:ascii="標楷體" w:eastAsia="標楷體" w:hAnsi="標楷體" w:hint="eastAsia"/>
                <w:color w:val="000000"/>
                <w:szCs w:val="24"/>
              </w:rPr>
            </w:pPr>
            <w:r w:rsidRPr="004F028C">
              <w:rPr>
                <w:rFonts w:ascii="標楷體" w:eastAsia="標楷體" w:hAnsi="標楷體" w:hint="eastAsia"/>
                <w:color w:val="000000"/>
                <w:szCs w:val="24"/>
              </w:rPr>
              <w:t>(三)申請預算保留項目之事由及所提供之證明文件，是否屬實及合理。</w:t>
            </w:r>
          </w:p>
          <w:p w:rsidR="004F028C" w:rsidRPr="004F028C" w:rsidRDefault="004F028C" w:rsidP="004F028C">
            <w:pPr>
              <w:snapToGrid w:val="0"/>
              <w:spacing w:line="320" w:lineRule="exact"/>
              <w:ind w:left="480" w:hangingChars="200" w:hanging="480"/>
              <w:jc w:val="both"/>
              <w:rPr>
                <w:rFonts w:ascii="標楷體" w:eastAsia="標楷體" w:hAnsi="標楷體" w:hint="eastAsia"/>
                <w:color w:val="000000"/>
                <w:szCs w:val="24"/>
              </w:rPr>
            </w:pPr>
            <w:r w:rsidRPr="004F028C">
              <w:rPr>
                <w:rFonts w:ascii="標楷體" w:eastAsia="標楷體" w:hAnsi="標楷體" w:hint="eastAsia"/>
                <w:color w:val="000000"/>
                <w:szCs w:val="24"/>
              </w:rPr>
              <w:t>(四)預算保留申請表中，申請預算保留之項目，其累計執行數，加計申請保留轉入下年度支用數及停止執行數之合計數，是否與本年度可用預算數相符。</w:t>
            </w:r>
          </w:p>
          <w:p w:rsidR="004F028C" w:rsidRPr="004F028C" w:rsidRDefault="004F028C" w:rsidP="004F028C">
            <w:pPr>
              <w:snapToGrid w:val="0"/>
              <w:spacing w:line="320" w:lineRule="exact"/>
              <w:ind w:left="480" w:hangingChars="200" w:hanging="480"/>
              <w:jc w:val="both"/>
              <w:rPr>
                <w:rFonts w:ascii="標楷體" w:eastAsia="標楷體" w:hAnsi="標楷體" w:hint="eastAsia"/>
                <w:color w:val="000000"/>
                <w:szCs w:val="24"/>
              </w:rPr>
            </w:pPr>
            <w:r w:rsidRPr="004F028C">
              <w:rPr>
                <w:rFonts w:ascii="標楷體" w:eastAsia="標楷體" w:hAnsi="標楷體" w:hint="eastAsia"/>
                <w:color w:val="000000"/>
                <w:szCs w:val="24"/>
              </w:rPr>
              <w:t>(五)是否於規定期限內檢附預算保留申請表及相關證明文件資料，向基金主管機關提出保留申請。</w:t>
            </w:r>
          </w:p>
          <w:p w:rsidR="004F028C" w:rsidRPr="004F028C" w:rsidRDefault="004F028C" w:rsidP="004F028C">
            <w:pPr>
              <w:snapToGrid w:val="0"/>
              <w:spacing w:line="320" w:lineRule="exact"/>
              <w:ind w:left="480" w:hangingChars="200" w:hanging="480"/>
              <w:jc w:val="both"/>
              <w:rPr>
                <w:rFonts w:ascii="標楷體" w:eastAsia="標楷體" w:hAnsi="標楷體" w:hint="eastAsia"/>
                <w:color w:val="000000"/>
                <w:szCs w:val="24"/>
              </w:rPr>
            </w:pPr>
            <w:r w:rsidRPr="004F028C">
              <w:rPr>
                <w:rFonts w:ascii="標楷體" w:eastAsia="標楷體" w:hAnsi="標楷體" w:hint="eastAsia"/>
                <w:color w:val="000000"/>
                <w:szCs w:val="24"/>
              </w:rPr>
              <w:t>(六)會計年度終了後，保留款未經核定前，已發生契約責任之案件，基於事實需要並依契約規定辦理付款者，得在原申請保留年度科目經費內，經基金主持人或其授權代簽人核准後辦理；如申請之保留案件未奉核准，或僅部分核准者，其已支付或溢付之款項，是否已由各支用機關負責收回。</w:t>
            </w:r>
          </w:p>
          <w:p w:rsidR="004F028C" w:rsidRPr="004F028C" w:rsidRDefault="004F028C" w:rsidP="004F028C">
            <w:pPr>
              <w:widowControl/>
              <w:spacing w:line="320" w:lineRule="exact"/>
              <w:ind w:rightChars="-45" w:right="-108"/>
              <w:jc w:val="both"/>
              <w:rPr>
                <w:rFonts w:ascii="標楷體" w:eastAsia="標楷體" w:hAnsi="標楷體" w:cs="新細明體" w:hint="eastAsia"/>
                <w:color w:val="000000"/>
                <w:kern w:val="0"/>
                <w:szCs w:val="24"/>
              </w:rPr>
            </w:pPr>
          </w:p>
        </w:tc>
        <w:tc>
          <w:tcPr>
            <w:tcW w:w="900"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c>
          <w:tcPr>
            <w:tcW w:w="900"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c>
          <w:tcPr>
            <w:tcW w:w="2921" w:type="dxa"/>
            <w:tcBorders>
              <w:top w:val="nil"/>
              <w:bottom w:val="nil"/>
            </w:tcBorders>
          </w:tcPr>
          <w:p w:rsidR="004F028C" w:rsidRPr="004F028C" w:rsidRDefault="004F028C" w:rsidP="004F028C">
            <w:pPr>
              <w:widowControl/>
              <w:spacing w:line="320" w:lineRule="exact"/>
              <w:rPr>
                <w:rFonts w:ascii="標楷體" w:eastAsia="標楷體" w:hAnsi="標楷體" w:cs="新細明體" w:hint="eastAsia"/>
                <w:color w:val="000000"/>
                <w:szCs w:val="24"/>
              </w:rPr>
            </w:pPr>
          </w:p>
        </w:tc>
      </w:tr>
      <w:tr w:rsidR="004F028C" w:rsidRPr="004F028C" w:rsidTr="00954A3A">
        <w:trPr>
          <w:trHeight w:val="686"/>
        </w:trPr>
        <w:tc>
          <w:tcPr>
            <w:tcW w:w="9401" w:type="dxa"/>
            <w:gridSpan w:val="4"/>
          </w:tcPr>
          <w:p w:rsidR="004F028C" w:rsidRPr="004F028C" w:rsidRDefault="004F028C" w:rsidP="004F028C">
            <w:pPr>
              <w:widowControl/>
              <w:spacing w:line="320" w:lineRule="exact"/>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結論/需採行之改善措施：</w:t>
            </w:r>
          </w:p>
          <w:p w:rsidR="004F028C" w:rsidRPr="004F028C" w:rsidRDefault="004F028C" w:rsidP="004F028C">
            <w:pPr>
              <w:widowControl/>
              <w:spacing w:line="320" w:lineRule="exact"/>
              <w:ind w:leftChars="2" w:left="5" w:firstLineChars="102" w:firstLine="245"/>
              <w:rPr>
                <w:rFonts w:ascii="標楷體" w:eastAsia="標楷體" w:hAnsi="標楷體" w:cs="新細明體" w:hint="eastAsia"/>
                <w:color w:val="000000"/>
                <w:szCs w:val="24"/>
              </w:rPr>
            </w:pPr>
          </w:p>
        </w:tc>
      </w:tr>
      <w:tr w:rsidR="004F028C" w:rsidRPr="004F028C" w:rsidTr="00954A3A">
        <w:trPr>
          <w:trHeight w:val="686"/>
        </w:trPr>
        <w:tc>
          <w:tcPr>
            <w:tcW w:w="9401" w:type="dxa"/>
            <w:gridSpan w:val="4"/>
          </w:tcPr>
          <w:p w:rsidR="004F028C" w:rsidRPr="004F028C" w:rsidRDefault="004F028C" w:rsidP="004F028C">
            <w:pPr>
              <w:widowControl/>
              <w:spacing w:line="320" w:lineRule="exact"/>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 xml:space="preserve">填表人：                複核：                單位主管：           </w:t>
            </w:r>
          </w:p>
        </w:tc>
      </w:tr>
    </w:tbl>
    <w:p w:rsidR="004F028C" w:rsidRPr="004F028C" w:rsidRDefault="004F028C" w:rsidP="004F028C">
      <w:pPr>
        <w:widowControl/>
        <w:spacing w:line="260" w:lineRule="exact"/>
        <w:ind w:leftChars="75" w:left="900" w:hangingChars="300" w:hanging="720"/>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註：1.機關得就1項作業流程製作1份自行評估表，亦得將各項作業流程依性質分類，</w:t>
      </w:r>
    </w:p>
    <w:p w:rsidR="004F028C" w:rsidRPr="004F028C" w:rsidRDefault="004F028C" w:rsidP="004F028C">
      <w:pPr>
        <w:widowControl/>
        <w:spacing w:line="260" w:lineRule="exact"/>
        <w:ind w:leftChars="375" w:left="900"/>
        <w:rPr>
          <w:rFonts w:ascii="標楷體" w:eastAsia="標楷體" w:hAnsi="標楷體" w:cs="新細明體" w:hint="eastAsia"/>
          <w:color w:val="000000"/>
          <w:szCs w:val="24"/>
        </w:rPr>
      </w:pPr>
      <w:r w:rsidRPr="004F028C">
        <w:rPr>
          <w:rFonts w:ascii="標楷體" w:eastAsia="標楷體" w:hAnsi="標楷體" w:cs="新細明體" w:hint="eastAsia"/>
          <w:color w:val="000000"/>
          <w:szCs w:val="24"/>
        </w:rPr>
        <w:t>同1類之作業流程合併1份自行評估表，就作業流程重點納入評估。</w:t>
      </w:r>
    </w:p>
    <w:p w:rsidR="00AD3BEC" w:rsidRDefault="004F028C" w:rsidP="004F028C">
      <w:pPr>
        <w:ind w:leftChars="-177" w:hangingChars="177" w:hanging="425"/>
      </w:pPr>
      <w:r w:rsidRPr="004F028C">
        <w:rPr>
          <w:rFonts w:ascii="標楷體" w:eastAsia="標楷體" w:hAnsi="標楷體" w:hint="eastAsia"/>
          <w:szCs w:val="24"/>
        </w:rPr>
        <w:t>2.自行</w:t>
      </w:r>
      <w:r w:rsidRPr="004F028C">
        <w:rPr>
          <w:rFonts w:ascii="標楷體" w:eastAsia="標楷體" w:hAnsi="標楷體" w:hint="eastAsia"/>
          <w:color w:val="000000"/>
          <w:szCs w:val="24"/>
        </w:rPr>
        <w:t>評估</w:t>
      </w:r>
      <w:r w:rsidRPr="004F028C">
        <w:rPr>
          <w:rFonts w:ascii="標楷體" w:eastAsia="標楷體" w:hAnsi="標楷體" w:hint="eastAsia"/>
          <w:szCs w:val="24"/>
        </w:rPr>
        <w:t>情形除勾選外，未符合者必須於說明欄內詳細記載</w:t>
      </w:r>
      <w:r w:rsidRPr="004F028C">
        <w:rPr>
          <w:rFonts w:ascii="標楷體" w:eastAsia="標楷體" w:hAnsi="標楷體" w:hint="eastAsia"/>
          <w:color w:val="000000"/>
          <w:szCs w:val="24"/>
        </w:rPr>
        <w:t>評估</w:t>
      </w:r>
      <w:r w:rsidRPr="004F028C">
        <w:rPr>
          <w:rFonts w:ascii="標楷體" w:eastAsia="標楷體" w:hAnsi="標楷體" w:hint="eastAsia"/>
          <w:szCs w:val="24"/>
        </w:rPr>
        <w:t>情形。</w:t>
      </w:r>
    </w:p>
    <w:sectPr w:rsidR="00AD3BEC" w:rsidSect="004F028C">
      <w:footerReference w:type="default" r:id="rId7"/>
      <w:pgSz w:w="11906" w:h="16838"/>
      <w:pgMar w:top="993" w:right="1800"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52" w:rsidRDefault="00747D52" w:rsidP="004F028C">
      <w:r>
        <w:separator/>
      </w:r>
    </w:p>
  </w:endnote>
  <w:endnote w:type="continuationSeparator" w:id="0">
    <w:p w:rsidR="00747D52" w:rsidRDefault="00747D52" w:rsidP="004F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C" w:rsidRPr="004F028C" w:rsidRDefault="004F028C" w:rsidP="004F028C">
    <w:pPr>
      <w:pStyle w:val="a5"/>
      <w:jc w:val="center"/>
      <w:rPr>
        <w:sz w:val="24"/>
        <w:szCs w:val="24"/>
      </w:rPr>
    </w:pPr>
    <w:r w:rsidRPr="004F028C">
      <w:rPr>
        <w:rFonts w:hint="eastAsia"/>
        <w:sz w:val="24"/>
        <w:szCs w:val="24"/>
      </w:rPr>
      <w:t>B05-</w:t>
    </w:r>
    <w:r w:rsidRPr="004F028C">
      <w:rPr>
        <w:rStyle w:val="a7"/>
        <w:sz w:val="24"/>
        <w:szCs w:val="24"/>
      </w:rPr>
      <w:fldChar w:fldCharType="begin"/>
    </w:r>
    <w:r w:rsidRPr="004F028C">
      <w:rPr>
        <w:rStyle w:val="a7"/>
        <w:sz w:val="24"/>
        <w:szCs w:val="24"/>
      </w:rPr>
      <w:instrText xml:space="preserve"> PAGE </w:instrText>
    </w:r>
    <w:r w:rsidRPr="004F028C">
      <w:rPr>
        <w:rStyle w:val="a7"/>
        <w:sz w:val="24"/>
        <w:szCs w:val="24"/>
      </w:rPr>
      <w:fldChar w:fldCharType="separate"/>
    </w:r>
    <w:r w:rsidR="008B037A">
      <w:rPr>
        <w:rStyle w:val="a7"/>
        <w:noProof/>
        <w:sz w:val="24"/>
        <w:szCs w:val="24"/>
      </w:rPr>
      <w:t>1</w:t>
    </w:r>
    <w:r w:rsidRPr="004F028C">
      <w:rPr>
        <w:rStyle w:val="a7"/>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52" w:rsidRDefault="00747D52" w:rsidP="004F028C">
      <w:r>
        <w:separator/>
      </w:r>
    </w:p>
  </w:footnote>
  <w:footnote w:type="continuationSeparator" w:id="0">
    <w:p w:rsidR="00747D52" w:rsidRDefault="00747D52" w:rsidP="004F0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8C"/>
    <w:rsid w:val="004F028C"/>
    <w:rsid w:val="00747D52"/>
    <w:rsid w:val="008B037A"/>
    <w:rsid w:val="00954A3A"/>
    <w:rsid w:val="00AD3BEC"/>
    <w:rsid w:val="00F30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85E52-156E-4335-84AD-76FF34BA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28C"/>
    <w:pPr>
      <w:tabs>
        <w:tab w:val="center" w:pos="4153"/>
        <w:tab w:val="right" w:pos="8306"/>
      </w:tabs>
      <w:snapToGrid w:val="0"/>
    </w:pPr>
    <w:rPr>
      <w:sz w:val="20"/>
      <w:szCs w:val="20"/>
    </w:rPr>
  </w:style>
  <w:style w:type="character" w:customStyle="1" w:styleId="a4">
    <w:name w:val="頁首 字元"/>
    <w:link w:val="a3"/>
    <w:uiPriority w:val="99"/>
    <w:rsid w:val="004F028C"/>
    <w:rPr>
      <w:sz w:val="20"/>
      <w:szCs w:val="20"/>
    </w:rPr>
  </w:style>
  <w:style w:type="paragraph" w:styleId="a5">
    <w:name w:val="footer"/>
    <w:basedOn w:val="a"/>
    <w:link w:val="a6"/>
    <w:uiPriority w:val="99"/>
    <w:unhideWhenUsed/>
    <w:rsid w:val="004F028C"/>
    <w:pPr>
      <w:tabs>
        <w:tab w:val="center" w:pos="4153"/>
        <w:tab w:val="right" w:pos="8306"/>
      </w:tabs>
      <w:snapToGrid w:val="0"/>
    </w:pPr>
    <w:rPr>
      <w:sz w:val="20"/>
      <w:szCs w:val="20"/>
    </w:rPr>
  </w:style>
  <w:style w:type="character" w:customStyle="1" w:styleId="a6">
    <w:name w:val="頁尾 字元"/>
    <w:link w:val="a5"/>
    <w:uiPriority w:val="99"/>
    <w:rsid w:val="004F028C"/>
    <w:rPr>
      <w:sz w:val="20"/>
      <w:szCs w:val="20"/>
    </w:rPr>
  </w:style>
  <w:style w:type="character" w:styleId="a7">
    <w:name w:val="page number"/>
    <w:rsid w:val="004F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劉秀玲</dc:creator>
  <cp:keywords/>
  <dc:description/>
  <cp:lastModifiedBy>馬秀燕</cp:lastModifiedBy>
  <cp:revision>2</cp:revision>
  <dcterms:created xsi:type="dcterms:W3CDTF">2024-04-11T07:11:00Z</dcterms:created>
  <dcterms:modified xsi:type="dcterms:W3CDTF">2024-04-11T07:11:00Z</dcterms:modified>
</cp:coreProperties>
</file>