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FE" w:rsidRPr="004E2157" w:rsidRDefault="00096EFE">
      <w:pPr>
        <w:rPr>
          <w:rFonts w:ascii="標楷體" w:eastAsia="標楷體" w:hAnsi="標楷體" w:hint="eastAsia"/>
        </w:rPr>
      </w:pPr>
      <w:r w:rsidRPr="004E2157">
        <w:rPr>
          <w:rFonts w:ascii="標楷體" w:eastAsia="標楷體" w:hAnsi="標楷體"/>
          <w:noProof/>
          <w:sz w:val="20"/>
        </w:rPr>
        <w:pict>
          <v:shapetype id="_x0000_t202" coordsize="21600,21600" o:spt="202" path="m,l,21600r21600,l21600,xe">
            <v:stroke joinstyle="miter"/>
            <v:path gradientshapeok="t" o:connecttype="rect"/>
          </v:shapetype>
          <v:shape id="_x0000_s1028" type="#_x0000_t202" style="position:absolute;margin-left:108pt;margin-top:297pt;width:120pt;height:27pt;z-index:3">
            <v:textbox style="mso-next-textbox:#_x0000_s1028">
              <w:txbxContent>
                <w:p w:rsidR="00096EFE" w:rsidRDefault="00096EFE">
                  <w:pPr>
                    <w:rPr>
                      <w:rFonts w:hint="eastAsia"/>
                    </w:rPr>
                  </w:pPr>
                  <w:r>
                    <w:rPr>
                      <w:rFonts w:hint="eastAsia"/>
                    </w:rPr>
                    <w:t>召開第一次監事會</w:t>
                  </w:r>
                </w:p>
              </w:txbxContent>
            </v:textbox>
          </v:shape>
        </w:pict>
      </w:r>
      <w:r w:rsidRPr="004E2157">
        <w:rPr>
          <w:rFonts w:ascii="標楷體" w:eastAsia="標楷體" w:hAnsi="標楷體"/>
          <w:noProof/>
          <w:sz w:val="20"/>
        </w:rPr>
        <w:pict>
          <v:line id="_x0000_s1031" style="position:absolute;z-index:6" from="171pt,189pt" to="171pt,243pt">
            <v:stroke endarrow="block"/>
          </v:line>
        </w:pict>
      </w:r>
      <w:r w:rsidRPr="004E2157">
        <w:rPr>
          <w:rFonts w:ascii="標楷體" w:eastAsia="標楷體" w:hAnsi="標楷體"/>
          <w:noProof/>
          <w:sz w:val="20"/>
        </w:rPr>
        <w:pict>
          <v:shape id="_x0000_s1027" type="#_x0000_t202" style="position:absolute;margin-left:117pt;margin-top:2in;width:108pt;height:45pt;z-index:2">
            <v:textbox style="mso-next-textbox:#_x0000_s1027">
              <w:txbxContent>
                <w:p w:rsidR="00096EFE" w:rsidRDefault="00096EFE">
                  <w:pPr>
                    <w:rPr>
                      <w:rFonts w:hint="eastAsia"/>
                    </w:rPr>
                  </w:pPr>
                  <w:r>
                    <w:rPr>
                      <w:rFonts w:hint="eastAsia"/>
                    </w:rPr>
                    <w:t>召開會員（代表）大會</w:t>
                  </w:r>
                </w:p>
              </w:txbxContent>
            </v:textbox>
          </v:shape>
        </w:pict>
      </w:r>
      <w:r w:rsidRPr="004E2157">
        <w:rPr>
          <w:rFonts w:ascii="標楷體" w:eastAsia="標楷體" w:hAnsi="標楷體"/>
          <w:noProof/>
          <w:sz w:val="20"/>
        </w:rPr>
        <w:pict>
          <v:line id="_x0000_s1030" style="position:absolute;z-index:5" from="171pt,108pt" to="171pt,2in">
            <v:stroke endarrow="block"/>
          </v:line>
        </w:pict>
      </w:r>
      <w:r w:rsidRPr="004E2157">
        <w:rPr>
          <w:rFonts w:ascii="標楷體" w:eastAsia="標楷體" w:hAnsi="標楷體"/>
          <w:noProof/>
          <w:sz w:val="20"/>
        </w:rPr>
        <w:pict>
          <v:shape id="_x0000_s1026" type="#_x0000_t202" style="position:absolute;margin-left:117pt;margin-top:63pt;width:102pt;height:45pt;z-index:1">
            <v:textbox style="mso-next-textbox:#_x0000_s1026">
              <w:txbxContent>
                <w:p w:rsidR="00096EFE" w:rsidRDefault="00096EFE">
                  <w:r>
                    <w:t xml:space="preserve">  </w:t>
                  </w:r>
                  <w:r>
                    <w:rPr>
                      <w:rFonts w:hint="eastAsia"/>
                    </w:rPr>
                    <w:t>召開理事會</w:t>
                  </w:r>
                </w:p>
                <w:p w:rsidR="00096EFE" w:rsidRDefault="00096EFE">
                  <w:pPr>
                    <w:rPr>
                      <w:rFonts w:hint="eastAsia"/>
                    </w:rPr>
                  </w:pPr>
                  <w:r>
                    <w:t>(</w:t>
                  </w:r>
                  <w:r>
                    <w:rPr>
                      <w:rFonts w:hint="eastAsia"/>
                      <w:sz w:val="16"/>
                    </w:rPr>
                    <w:t>召開大會十五日前召開</w:t>
                  </w:r>
                  <w:r>
                    <w:rPr>
                      <w:rFonts w:hint="eastAsia"/>
                      <w:sz w:val="16"/>
                    </w:rPr>
                    <w:t>)</w:t>
                  </w:r>
                </w:p>
              </w:txbxContent>
            </v:textbox>
          </v:shape>
        </w:pict>
      </w:r>
      <w:r w:rsidRPr="004E2157">
        <w:rPr>
          <w:rFonts w:ascii="標楷體" w:eastAsia="標楷體" w:hAnsi="標楷體"/>
          <w:noProof/>
          <w:sz w:val="20"/>
        </w:rPr>
        <w:pict>
          <v:line id="_x0000_s1034" style="position:absolute;z-index:9" from="168pt,324pt" to="168pt,351pt">
            <v:stroke endarrow="block"/>
          </v:line>
        </w:pict>
      </w:r>
      <w:r w:rsidRPr="004E2157">
        <w:rPr>
          <w:rFonts w:ascii="標楷體" w:eastAsia="標楷體" w:hAnsi="標楷體"/>
          <w:noProof/>
          <w:sz w:val="20"/>
        </w:rPr>
        <w:pict>
          <v:shape id="_x0000_s1033" type="#_x0000_t202" style="position:absolute;margin-left:132pt;margin-top:351pt;width:81pt;height:63pt;z-index:8">
            <v:textbox style="mso-next-textbox:#_x0000_s1033">
              <w:txbxContent>
                <w:p w:rsidR="00096EFE" w:rsidRDefault="00096EFE">
                  <w:pPr>
                    <w:rPr>
                      <w:rFonts w:hint="eastAsia"/>
                    </w:rPr>
                  </w:pPr>
                  <w:r>
                    <w:rPr>
                      <w:rFonts w:hint="eastAsia"/>
                    </w:rPr>
                    <w:t>大會紀錄及有關資料陳報縣政府</w:t>
                  </w:r>
                </w:p>
              </w:txbxContent>
            </v:textbox>
          </v:shape>
        </w:pict>
      </w:r>
      <w:r w:rsidRPr="004E2157">
        <w:rPr>
          <w:rFonts w:ascii="標楷體" w:eastAsia="標楷體" w:hAnsi="標楷體"/>
          <w:noProof/>
          <w:sz w:val="20"/>
        </w:rPr>
        <w:pict>
          <v:line id="_x0000_s1032" style="position:absolute;z-index:7" from="168pt,270pt" to="168pt,297pt">
            <v:stroke endarrow="block"/>
          </v:line>
        </w:pict>
      </w:r>
      <w:r w:rsidRPr="004E2157">
        <w:rPr>
          <w:rFonts w:ascii="標楷體" w:eastAsia="標楷體" w:hAnsi="標楷體"/>
          <w:noProof/>
          <w:sz w:val="20"/>
        </w:rPr>
        <w:pict>
          <v:shape id="_x0000_s1029" type="#_x0000_t202" style="position:absolute;margin-left:108pt;margin-top:243pt;width:120pt;height:27pt;z-index:4">
            <v:textbox style="mso-next-textbox:#_x0000_s1029">
              <w:txbxContent>
                <w:p w:rsidR="00096EFE" w:rsidRDefault="00096EFE">
                  <w:pPr>
                    <w:rPr>
                      <w:rFonts w:hint="eastAsia"/>
                    </w:rPr>
                  </w:pPr>
                  <w:r>
                    <w:rPr>
                      <w:rFonts w:hint="eastAsia"/>
                    </w:rPr>
                    <w:t>召開第一次理事會</w:t>
                  </w:r>
                </w:p>
              </w:txbxContent>
            </v:textbox>
          </v:shape>
        </w:pict>
      </w:r>
      <w:r w:rsidRPr="004E2157">
        <w:rPr>
          <w:rFonts w:ascii="標楷體" w:eastAsia="標楷體" w:hAnsi="標楷體" w:hint="eastAsia"/>
          <w:sz w:val="28"/>
          <w:u w:val="single"/>
        </w:rPr>
        <w:t>改選理監事作業流程(</w:t>
      </w:r>
      <w:r w:rsidRPr="004E2157">
        <w:rPr>
          <w:rFonts w:ascii="標楷體" w:eastAsia="標楷體" w:hAnsi="標楷體" w:hint="eastAsia"/>
          <w:sz w:val="16"/>
        </w:rPr>
        <w:t>應於理監事任期屆滿前一個月內改選（得申請主管機關核准延長三個月）（選33）</w:t>
      </w:r>
      <w:r w:rsidRPr="004E2157">
        <w:rPr>
          <w:rFonts w:ascii="標楷體" w:eastAsia="標楷體" w:hAnsi="標楷體" w:hint="eastAsia"/>
          <w:sz w:val="28"/>
          <w:u w:val="single"/>
        </w:rPr>
        <w:t>)</w: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r w:rsidRPr="004E2157">
        <w:rPr>
          <w:rFonts w:ascii="標楷體" w:eastAsia="標楷體" w:hAnsi="標楷體"/>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margin-left:243pt;margin-top:9pt;width:108pt;height:36pt;z-index:11" adj="-6200,10920">
            <v:textbox>
              <w:txbxContent>
                <w:p w:rsidR="00096EFE" w:rsidRDefault="00096EFE">
                  <w:pPr>
                    <w:rPr>
                      <w:rFonts w:hint="eastAsia"/>
                    </w:rPr>
                  </w:pPr>
                  <w:r>
                    <w:rPr>
                      <w:rFonts w:hint="eastAsia"/>
                    </w:rPr>
                    <w:t>請詳閱說明</w:t>
                  </w:r>
                  <w:proofErr w:type="gramStart"/>
                  <w:r>
                    <w:rPr>
                      <w:rFonts w:hint="eastAsia"/>
                    </w:rPr>
                    <w:t>一</w:t>
                  </w:r>
                  <w:proofErr w:type="gramEnd"/>
                </w:p>
              </w:txbxContent>
            </v:textbox>
          </v:shape>
        </w:pic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r w:rsidRPr="004E2157">
        <w:rPr>
          <w:rFonts w:ascii="標楷體" w:eastAsia="標楷體" w:hAnsi="標楷體"/>
          <w:noProof/>
          <w:sz w:val="20"/>
        </w:rPr>
        <w:pict>
          <v:shape id="_x0000_s1036" type="#_x0000_t62" style="position:absolute;margin-left:-54pt;margin-top:9pt;width:135pt;height:36pt;z-index:10" adj="28496,44790">
            <v:textbox>
              <w:txbxContent>
                <w:p w:rsidR="00096EFE" w:rsidRDefault="00096EFE">
                  <w:pPr>
                    <w:rPr>
                      <w:rFonts w:hint="eastAsia"/>
                    </w:rPr>
                  </w:pPr>
                  <w:r>
                    <w:rPr>
                      <w:rFonts w:hint="eastAsia"/>
                    </w:rPr>
                    <w:t>請詳閱說明二</w:t>
                  </w:r>
                </w:p>
              </w:txbxContent>
            </v:textbox>
          </v:shape>
        </w:pic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r w:rsidRPr="004E2157">
        <w:rPr>
          <w:rFonts w:ascii="標楷體" w:eastAsia="標楷體" w:hAnsi="標楷體"/>
          <w:noProof/>
          <w:sz w:val="20"/>
        </w:rPr>
        <w:pict>
          <v:shape id="_x0000_s1039" type="#_x0000_t62" style="position:absolute;margin-left:234pt;margin-top:0;width:126pt;height:36pt;z-index:12" adj="-3309,28560">
            <v:textbox>
              <w:txbxContent>
                <w:p w:rsidR="00096EFE" w:rsidRDefault="00096EFE">
                  <w:r>
                    <w:rPr>
                      <w:rFonts w:hint="eastAsia"/>
                    </w:rPr>
                    <w:t>請詳閱說明</w:t>
                  </w:r>
                  <w:proofErr w:type="gramStart"/>
                  <w:r>
                    <w:rPr>
                      <w:rFonts w:hint="eastAsia"/>
                    </w:rPr>
                    <w:t>三</w:t>
                  </w:r>
                  <w:proofErr w:type="gramEnd"/>
                </w:p>
              </w:txbxContent>
            </v:textbox>
          </v:shape>
        </w:pic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r w:rsidRPr="004E2157">
        <w:rPr>
          <w:rFonts w:ascii="標楷體" w:eastAsia="標楷體" w:hAnsi="標楷體"/>
          <w:noProof/>
          <w:sz w:val="20"/>
        </w:rPr>
        <w:pict>
          <v:line id="_x0000_s1041" style="position:absolute;flip:y;z-index:14" from="225pt,0" to="270pt,45pt"/>
        </w:pict>
      </w:r>
      <w:r w:rsidRPr="004E2157">
        <w:rPr>
          <w:rFonts w:ascii="標楷體" w:eastAsia="標楷體" w:hAnsi="標楷體"/>
          <w:noProof/>
          <w:sz w:val="20"/>
        </w:rPr>
        <w:pict>
          <v:line id="_x0000_s1040" style="position:absolute;flip:x;z-index:13" from="225pt,0" to="4in,45pt"/>
        </w:pic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jc w:val="both"/>
        <w:rPr>
          <w:rFonts w:ascii="標楷體" w:eastAsia="標楷體" w:hAnsi="標楷體" w:hint="eastAsia"/>
          <w:sz w:val="20"/>
        </w:rPr>
      </w:pPr>
      <w:r w:rsidRPr="004E2157">
        <w:rPr>
          <w:rFonts w:ascii="標楷體" w:eastAsia="標楷體" w:hAnsi="標楷體" w:hint="eastAsia"/>
          <w:sz w:val="20"/>
        </w:rPr>
        <w:t>資料來源：</w:t>
      </w:r>
    </w:p>
    <w:p w:rsidR="00096EFE" w:rsidRPr="004E2157" w:rsidRDefault="00096EFE">
      <w:pPr>
        <w:numPr>
          <w:ilvl w:val="0"/>
          <w:numId w:val="1"/>
        </w:numPr>
        <w:jc w:val="both"/>
        <w:rPr>
          <w:rFonts w:ascii="標楷體" w:eastAsia="標楷體" w:hAnsi="標楷體" w:hint="eastAsia"/>
          <w:sz w:val="20"/>
        </w:rPr>
      </w:pPr>
      <w:r w:rsidRPr="004E2157">
        <w:rPr>
          <w:rFonts w:ascii="標楷體" w:eastAsia="標楷體" w:hAnsi="標楷體" w:hint="eastAsia"/>
          <w:sz w:val="20"/>
        </w:rPr>
        <w:t>人民團體法（簡稱“人”）</w:t>
      </w:r>
    </w:p>
    <w:p w:rsidR="00096EFE" w:rsidRPr="004E2157" w:rsidRDefault="00096EFE">
      <w:pPr>
        <w:numPr>
          <w:ilvl w:val="0"/>
          <w:numId w:val="1"/>
        </w:numPr>
        <w:jc w:val="both"/>
        <w:rPr>
          <w:rFonts w:ascii="標楷體" w:eastAsia="標楷體" w:hAnsi="標楷體" w:hint="eastAsia"/>
          <w:sz w:val="20"/>
        </w:rPr>
      </w:pPr>
      <w:r w:rsidRPr="004E2157">
        <w:rPr>
          <w:rFonts w:ascii="標楷體" w:eastAsia="標楷體" w:hAnsi="標楷體" w:hint="eastAsia"/>
          <w:sz w:val="20"/>
        </w:rPr>
        <w:t>督導各級人民團體實施辦法（簡稱“督</w:t>
      </w:r>
      <w:r w:rsidRPr="004E2157">
        <w:rPr>
          <w:rFonts w:ascii="標楷體" w:eastAsia="標楷體" w:hAnsi="標楷體"/>
          <w:sz w:val="20"/>
        </w:rPr>
        <w:t>”</w:t>
      </w:r>
      <w:r w:rsidRPr="004E2157">
        <w:rPr>
          <w:rFonts w:ascii="標楷體" w:eastAsia="標楷體" w:hAnsi="標楷體" w:hint="eastAsia"/>
          <w:sz w:val="20"/>
        </w:rPr>
        <w:t>）</w:t>
      </w:r>
    </w:p>
    <w:p w:rsidR="00096EFE" w:rsidRPr="004E2157" w:rsidRDefault="00096EFE">
      <w:pPr>
        <w:numPr>
          <w:ilvl w:val="0"/>
          <w:numId w:val="1"/>
        </w:numPr>
        <w:jc w:val="both"/>
        <w:rPr>
          <w:rFonts w:ascii="標楷體" w:eastAsia="標楷體" w:hAnsi="標楷體" w:hint="eastAsia"/>
          <w:sz w:val="20"/>
        </w:rPr>
      </w:pPr>
      <w:r w:rsidRPr="004E2157">
        <w:rPr>
          <w:rFonts w:ascii="標楷體" w:eastAsia="標楷體" w:hAnsi="標楷體" w:hint="eastAsia"/>
          <w:sz w:val="20"/>
        </w:rPr>
        <w:t>人民團體選舉罷免辦法（簡稱“選”）</w:t>
      </w:r>
    </w:p>
    <w:p w:rsidR="00096EFE" w:rsidRPr="004E2157" w:rsidRDefault="00096EFE">
      <w:pPr>
        <w:rPr>
          <w:rFonts w:ascii="標楷體" w:eastAsia="標楷體" w:hAnsi="標楷體" w:hint="eastAsia"/>
        </w:rPr>
      </w:pPr>
      <w:r w:rsidRPr="004E2157">
        <w:rPr>
          <w:rFonts w:ascii="標楷體" w:eastAsia="標楷體" w:hAnsi="標楷體" w:hint="eastAsia"/>
          <w:sz w:val="20"/>
        </w:rPr>
        <w:t>四、社會團體工作人員管理辦法（簡稱</w:t>
      </w:r>
      <w:r w:rsidRPr="004E2157">
        <w:rPr>
          <w:rFonts w:ascii="標楷體" w:eastAsia="標楷體" w:hAnsi="標楷體"/>
          <w:sz w:val="20"/>
        </w:rPr>
        <w:t>”</w:t>
      </w:r>
      <w:r w:rsidRPr="004E2157">
        <w:rPr>
          <w:rFonts w:ascii="標楷體" w:eastAsia="標楷體" w:hAnsi="標楷體" w:hint="eastAsia"/>
          <w:sz w:val="20"/>
        </w:rPr>
        <w:t>工</w:t>
      </w:r>
      <w:r w:rsidRPr="004E2157">
        <w:rPr>
          <w:rFonts w:ascii="標楷體" w:eastAsia="標楷體" w:hAnsi="標楷體"/>
          <w:sz w:val="20"/>
        </w:rPr>
        <w:t>”</w:t>
      </w:r>
      <w:r w:rsidRPr="004E2157">
        <w:rPr>
          <w:rFonts w:ascii="標楷體" w:eastAsia="標楷體" w:hAnsi="標楷體" w:hint="eastAsia"/>
          <w:sz w:val="20"/>
        </w:rPr>
        <w:t>）</w:t>
      </w:r>
      <w:r w:rsidRPr="004E2157">
        <w:rPr>
          <w:rFonts w:ascii="標楷體" w:eastAsia="標楷體" w:hAnsi="標楷體" w:hint="eastAsia"/>
        </w:rPr>
        <w:t xml:space="preserve"> </w: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b/>
          <w:bCs/>
          <w:sz w:val="28"/>
        </w:rPr>
      </w:pPr>
      <w:r w:rsidRPr="004E2157">
        <w:rPr>
          <w:rFonts w:ascii="標楷體" w:eastAsia="標楷體" w:hAnsi="標楷體" w:hint="eastAsia"/>
          <w:b/>
          <w:bCs/>
          <w:sz w:val="28"/>
        </w:rPr>
        <w:t>改選理監事作業流程說明</w:t>
      </w:r>
      <w:proofErr w:type="gramStart"/>
      <w:r w:rsidRPr="004E2157">
        <w:rPr>
          <w:rFonts w:ascii="標楷體" w:eastAsia="標楷體" w:hAnsi="標楷體" w:hint="eastAsia"/>
          <w:b/>
          <w:bCs/>
          <w:sz w:val="28"/>
        </w:rPr>
        <w:t>一</w:t>
      </w:r>
      <w:proofErr w:type="gramEnd"/>
    </w:p>
    <w:p w:rsidR="00096EFE" w:rsidRPr="004E2157" w:rsidRDefault="00096EFE">
      <w:pPr>
        <w:numPr>
          <w:ilvl w:val="0"/>
          <w:numId w:val="2"/>
        </w:numPr>
        <w:rPr>
          <w:rFonts w:ascii="標楷體" w:eastAsia="標楷體" w:hAnsi="標楷體" w:hint="eastAsia"/>
        </w:rPr>
      </w:pPr>
      <w:r w:rsidRPr="004E2157">
        <w:rPr>
          <w:rFonts w:ascii="標楷體" w:eastAsia="標楷體" w:hAnsi="標楷體" w:hint="eastAsia"/>
        </w:rPr>
        <w:t>應由理事會在召開大會十五日前審定會員（會員代表）之資格，並造具名冊，報主管機關。（選5）</w:t>
      </w:r>
    </w:p>
    <w:p w:rsidR="00096EFE" w:rsidRPr="004E2157" w:rsidRDefault="00096EFE">
      <w:pPr>
        <w:numPr>
          <w:ilvl w:val="0"/>
          <w:numId w:val="2"/>
        </w:numPr>
        <w:rPr>
          <w:rFonts w:ascii="標楷體" w:eastAsia="標楷體" w:hAnsi="標楷體" w:hint="eastAsia"/>
        </w:rPr>
      </w:pPr>
      <w:r w:rsidRPr="004E2157">
        <w:rPr>
          <w:rFonts w:ascii="標楷體" w:eastAsia="標楷體" w:hAnsi="標楷體" w:hint="eastAsia"/>
        </w:rPr>
        <w:t>召開理事會議、監事會議、理事監事聯席會議七日前應將會議種類、時間、地點連同議程通知各應出席人員並</w:t>
      </w:r>
      <w:r w:rsidRPr="004E2157">
        <w:rPr>
          <w:rFonts w:ascii="標楷體" w:eastAsia="標楷體" w:hAnsi="標楷體"/>
        </w:rPr>
        <w:t xml:space="preserve">  </w:t>
      </w:r>
      <w:r w:rsidRPr="004E2157">
        <w:rPr>
          <w:rFonts w:ascii="標楷體" w:eastAsia="標楷體" w:hAnsi="標楷體" w:hint="eastAsia"/>
        </w:rPr>
        <w:t>報請主管機關及目的事業主管機關備查（人26、督5）。</w:t>
      </w:r>
    </w:p>
    <w:p w:rsidR="00096EFE" w:rsidRPr="004E2157" w:rsidRDefault="00096EFE">
      <w:pPr>
        <w:numPr>
          <w:ilvl w:val="0"/>
          <w:numId w:val="2"/>
        </w:numPr>
        <w:rPr>
          <w:rFonts w:ascii="標楷體" w:eastAsia="標楷體" w:hAnsi="標楷體" w:hint="eastAsia"/>
        </w:rPr>
      </w:pPr>
      <w:r w:rsidRPr="004E2157">
        <w:rPr>
          <w:rFonts w:ascii="標楷體" w:eastAsia="標楷體" w:hAnsi="標楷體" w:hint="eastAsia"/>
        </w:rPr>
        <w:t>人民團體理事會議、監事會議應分別舉行，必要時，得召開理事監事聯席會議。前項聯席會議，應有理事、監事各過半數之出席，始得開會。其決議各以出席理事、監事過半數或較多數之同意行之。（督7）</w:t>
      </w:r>
    </w:p>
    <w:p w:rsidR="00096EFE" w:rsidRPr="004E2157" w:rsidRDefault="00096EFE">
      <w:pPr>
        <w:numPr>
          <w:ilvl w:val="0"/>
          <w:numId w:val="2"/>
        </w:numPr>
        <w:rPr>
          <w:rFonts w:ascii="標楷體" w:eastAsia="標楷體" w:hAnsi="標楷體" w:hint="eastAsia"/>
        </w:rPr>
      </w:pPr>
      <w:r w:rsidRPr="004E2157">
        <w:rPr>
          <w:rFonts w:ascii="標楷體" w:eastAsia="標楷體" w:hAnsi="標楷體" w:hint="eastAsia"/>
        </w:rPr>
        <w:t>理事會議議程（如附件一）：審定會員資格、擬定年度工作計畫、年度預算、決算經理事會通過後提大會議決，決定選舉方式、選票格式、大會日期地點，大會手冊，大會工作分工等。</w:t>
      </w:r>
    </w:p>
    <w:p w:rsidR="00096EFE" w:rsidRPr="004E2157" w:rsidRDefault="00096EFE">
      <w:pPr>
        <w:numPr>
          <w:ilvl w:val="0"/>
          <w:numId w:val="2"/>
        </w:numPr>
        <w:rPr>
          <w:rFonts w:ascii="標楷體" w:eastAsia="標楷體" w:hAnsi="標楷體" w:hint="eastAsia"/>
        </w:rPr>
      </w:pPr>
      <w:r w:rsidRPr="004E2157">
        <w:rPr>
          <w:rFonts w:ascii="標楷體" w:eastAsia="標楷體" w:hAnsi="標楷體" w:hint="eastAsia"/>
        </w:rPr>
        <w:t>人民團體於每屆理事、監事改選前，應將立案證書、圖記、未完成案件、檔案、財務及人事等資料造具清冊一式三份，於下屆理事長選出後，以一份連同立案證書、圖記移交新任理事長及監交人，並於十五日內由新任理事長會同監交人接收完畢。逾期未完成移交者，除依法處理外，得報請主管機關將原發圖記或立案證書予以註銷或作廢，重新發給。</w:t>
      </w:r>
    </w:p>
    <w:p w:rsidR="00096EFE" w:rsidRPr="004E2157" w:rsidRDefault="00096EFE">
      <w:pPr>
        <w:ind w:left="540"/>
        <w:rPr>
          <w:rFonts w:ascii="標楷體" w:eastAsia="標楷體" w:hAnsi="標楷體" w:hint="eastAsia"/>
        </w:rPr>
      </w:pPr>
      <w:r w:rsidRPr="004E2157">
        <w:rPr>
          <w:rFonts w:ascii="標楷體" w:eastAsia="標楷體" w:hAnsi="標楷體"/>
        </w:rPr>
        <w:t xml:space="preserve"> </w:t>
      </w:r>
      <w:r w:rsidRPr="004E2157">
        <w:rPr>
          <w:rFonts w:ascii="標楷體" w:eastAsia="標楷體" w:hAnsi="標楷體" w:hint="eastAsia"/>
        </w:rPr>
        <w:t>前項監交人由新任監事會召集人（常務監事）或新任監事互推一人擔任之。（督11）</w:t>
      </w:r>
    </w:p>
    <w:p w:rsidR="00096EFE" w:rsidRPr="004E2157" w:rsidRDefault="00096EFE">
      <w:pPr>
        <w:rPr>
          <w:rFonts w:ascii="標楷體" w:eastAsia="標楷體" w:hAnsi="標楷體" w:hint="eastAsia"/>
        </w:rPr>
      </w:pPr>
      <w:r w:rsidRPr="004E2157">
        <w:rPr>
          <w:rFonts w:ascii="標楷體" w:eastAsia="標楷體" w:hAnsi="標楷體" w:hint="eastAsia"/>
        </w:rPr>
        <w:t>本流程說明未列出者，悉依有關法令規定辦理。</w: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b/>
          <w:bCs/>
          <w:sz w:val="28"/>
        </w:rPr>
      </w:pPr>
      <w:r w:rsidRPr="004E2157">
        <w:rPr>
          <w:rFonts w:ascii="標楷體" w:eastAsia="標楷體" w:hAnsi="標楷體" w:hint="eastAsia"/>
          <w:b/>
          <w:bCs/>
          <w:sz w:val="28"/>
        </w:rPr>
        <w:t>改選理監事作業流程說明二</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各項法定會議請以屆、</w:t>
      </w:r>
      <w:proofErr w:type="gramStart"/>
      <w:r w:rsidRPr="004E2157">
        <w:rPr>
          <w:rFonts w:ascii="標楷體" w:eastAsia="標楷體" w:hAnsi="標楷體" w:hint="eastAsia"/>
        </w:rPr>
        <w:t>次載明</w:t>
      </w:r>
      <w:proofErr w:type="gramEnd"/>
      <w:r w:rsidRPr="004E2157">
        <w:rPr>
          <w:rFonts w:ascii="標楷體" w:eastAsia="標楷體" w:hAnsi="標楷體" w:hint="eastAsia"/>
        </w:rPr>
        <w:t>，召開會員大會改選理監事，當次大會之次數均統稱為「第一次」，例如</w:t>
      </w:r>
      <w:proofErr w:type="gramStart"/>
      <w:r w:rsidRPr="004E2157">
        <w:rPr>
          <w:rFonts w:ascii="標楷體" w:eastAsia="標楷體" w:hAnsi="標楷體" w:hint="eastAsia"/>
        </w:rPr>
        <w:t>本屆為第四</w:t>
      </w:r>
      <w:proofErr w:type="gramEnd"/>
      <w:r w:rsidRPr="004E2157">
        <w:rPr>
          <w:rFonts w:ascii="標楷體" w:eastAsia="標楷體" w:hAnsi="標楷體" w:hint="eastAsia"/>
        </w:rPr>
        <w:t>屆</w:t>
      </w:r>
      <w:r w:rsidR="008A4D61">
        <w:rPr>
          <w:rFonts w:ascii="標楷體" w:eastAsia="標楷體" w:hAnsi="標楷體" w:hint="eastAsia"/>
        </w:rPr>
        <w:t>任期已屆滿，辦理改選理監事，大會</w:t>
      </w:r>
      <w:proofErr w:type="gramStart"/>
      <w:r w:rsidR="008A4D61">
        <w:rPr>
          <w:rFonts w:ascii="標楷體" w:eastAsia="標楷體" w:hAnsi="標楷體" w:hint="eastAsia"/>
        </w:rPr>
        <w:t>之屆次即</w:t>
      </w:r>
      <w:proofErr w:type="gramEnd"/>
      <w:r w:rsidR="008A4D61">
        <w:rPr>
          <w:rFonts w:ascii="標楷體" w:eastAsia="標楷體" w:hAnsi="標楷體" w:hint="eastAsia"/>
        </w:rPr>
        <w:t>為「連江</w:t>
      </w:r>
      <w:r w:rsidRPr="004E2157">
        <w:rPr>
          <w:rFonts w:ascii="標楷體" w:eastAsia="標楷體" w:hAnsi="標楷體" w:hint="eastAsia"/>
        </w:rPr>
        <w:t>縣００００會第五屆第一次會員大會」。</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召開會員（會員代表）大會十五日前，應將會議種類、時間、地點連同議程通知各應出席人員並</w:t>
      </w:r>
      <w:r w:rsidRPr="004E2157">
        <w:rPr>
          <w:rFonts w:ascii="標楷體" w:eastAsia="標楷體" w:hAnsi="標楷體"/>
        </w:rPr>
        <w:t xml:space="preserve">  </w:t>
      </w:r>
      <w:r w:rsidRPr="004E2157">
        <w:rPr>
          <w:rFonts w:ascii="標楷體" w:eastAsia="標楷體" w:hAnsi="標楷體" w:hint="eastAsia"/>
        </w:rPr>
        <w:t>報請主管機關及目的事業主管機關備查（人26、督5）</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印製大會手冊、會員出席簽到簿、出席證、委託出席</w:t>
      </w:r>
      <w:bookmarkStart w:id="0" w:name="_GoBack"/>
      <w:bookmarkEnd w:id="0"/>
      <w:r w:rsidRPr="004E2157">
        <w:rPr>
          <w:rFonts w:ascii="標楷體" w:eastAsia="標楷體" w:hAnsi="標楷體" w:hint="eastAsia"/>
        </w:rPr>
        <w:t>證、製作選票（理事、監事、常務理事、常務監事、理事長）、繪製開票</w:t>
      </w:r>
      <w:proofErr w:type="gramStart"/>
      <w:r w:rsidRPr="004E2157">
        <w:rPr>
          <w:rFonts w:ascii="標楷體" w:eastAsia="標楷體" w:hAnsi="標楷體" w:hint="eastAsia"/>
        </w:rPr>
        <w:t>計票表</w:t>
      </w:r>
      <w:proofErr w:type="gramEnd"/>
      <w:r w:rsidRPr="004E2157">
        <w:rPr>
          <w:rFonts w:ascii="標楷體" w:eastAsia="標楷體" w:hAnsi="標楷體" w:hint="eastAsia"/>
        </w:rPr>
        <w:t>（理事、監事、常務理事、常務監事、理事長）、準備票</w:t>
      </w:r>
      <w:proofErr w:type="gramStart"/>
      <w:r w:rsidRPr="004E2157">
        <w:rPr>
          <w:rFonts w:ascii="標楷體" w:eastAsia="標楷體" w:hAnsi="標楷體" w:hint="eastAsia"/>
        </w:rPr>
        <w:t>匭</w:t>
      </w:r>
      <w:proofErr w:type="gramEnd"/>
      <w:r w:rsidRPr="004E2157">
        <w:rPr>
          <w:rFonts w:ascii="標楷體" w:eastAsia="標楷體" w:hAnsi="標楷體" w:hint="eastAsia"/>
        </w:rPr>
        <w:t>、選舉圍屏、佈置會場、來賓簽到簿、來賓胸花、文具（簽字筆、膠帶、膠水、美工刀、筆、紙等）</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會員大會議程（如附件二）：工作報告、報告上次決議案執行情形、議決年度決算、年度工作計畫、年度預算、選舉等</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人民團體會員（會員代表）大會或理事會不能依法召開時，得由主管機關</w:t>
      </w:r>
      <w:r w:rsidRPr="004E2157">
        <w:rPr>
          <w:rFonts w:ascii="標楷體" w:eastAsia="標楷體" w:hAnsi="標楷體" w:hint="eastAsia"/>
        </w:rPr>
        <w:lastRenderedPageBreak/>
        <w:t>指定理事一人召集之；監事會不能依法召開時，得由主管機關指定監事一人召集之。（人32）</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人民團體之會員（會員代表）親自或受委託出席會員（會員代表）大會時，應在簽到簿上簽到，並出示身分證明，經與會員（會員代表）名冊核對無誤後，領取出席證或委託出席證，佩掛進入會場。前項出席證與委託出席證應區分顏色印製，分別書明會員（會員代表）姓名及委託人姓名，並按簽到先後次序編號。（選10）</w:t>
      </w:r>
    </w:p>
    <w:p w:rsidR="00096EFE" w:rsidRPr="004E2157" w:rsidRDefault="00096EFE">
      <w:pPr>
        <w:numPr>
          <w:ilvl w:val="0"/>
          <w:numId w:val="3"/>
        </w:numPr>
        <w:rPr>
          <w:rFonts w:ascii="標楷體" w:eastAsia="標楷體" w:hAnsi="標楷體"/>
        </w:rPr>
      </w:pPr>
      <w:r w:rsidRPr="004E2157">
        <w:rPr>
          <w:rFonts w:ascii="標楷體" w:eastAsia="標楷體" w:hAnsi="標楷體" w:hint="eastAsia"/>
        </w:rPr>
        <w:t>人民團體之選舉或罷免，在發選舉或罷免票前應由會議主席或其指定人員說明選舉或罷免之名稱、職稱、應選出名額，</w:t>
      </w:r>
      <w:proofErr w:type="gramStart"/>
      <w:r w:rsidRPr="004E2157">
        <w:rPr>
          <w:rFonts w:ascii="標楷體" w:eastAsia="標楷體" w:hAnsi="標楷體" w:hint="eastAsia"/>
        </w:rPr>
        <w:t>或被聲請</w:t>
      </w:r>
      <w:proofErr w:type="gramEnd"/>
      <w:r w:rsidRPr="004E2157">
        <w:rPr>
          <w:rFonts w:ascii="標楷體" w:eastAsia="標楷體" w:hAnsi="標楷體" w:hint="eastAsia"/>
        </w:rPr>
        <w:t>罷免人姓名、選舉或罷免方法、無效票之鑑定及選</w:t>
      </w:r>
      <w:proofErr w:type="gramStart"/>
      <w:r w:rsidRPr="004E2157">
        <w:rPr>
          <w:rFonts w:ascii="標楷體" w:eastAsia="標楷體" w:hAnsi="標楷體" w:hint="eastAsia"/>
        </w:rPr>
        <w:t>務</w:t>
      </w:r>
      <w:proofErr w:type="gramEnd"/>
      <w:r w:rsidRPr="004E2157">
        <w:rPr>
          <w:rFonts w:ascii="標楷體" w:eastAsia="標楷體" w:hAnsi="標楷體" w:hint="eastAsia"/>
        </w:rPr>
        <w:t>工作人員之職責等有關選舉或罷免注意事項，並由選舉人或罷免人互推或由會議主席指定監票員、發票員、唱票員及記票員各若干人，辦理監票、發票、唱票及記票事宜。（選11）</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人民團體之選舉或罷免票，應由各該團體依</w:t>
      </w:r>
      <w:r w:rsidRPr="004E2157">
        <w:rPr>
          <w:rFonts w:ascii="標楷體" w:eastAsia="標楷體" w:hAnsi="標楷體" w:hint="eastAsia"/>
          <w:u w:val="single"/>
        </w:rPr>
        <w:t>人民團體選舉罷免辦法</w:t>
      </w:r>
      <w:r w:rsidRPr="004E2157">
        <w:rPr>
          <w:rFonts w:ascii="標楷體" w:eastAsia="標楷體" w:hAnsi="標楷體" w:hint="eastAsia"/>
        </w:rPr>
        <w:t>規定格式自行印製，</w:t>
      </w:r>
      <w:proofErr w:type="gramStart"/>
      <w:r w:rsidRPr="004E2157">
        <w:rPr>
          <w:rFonts w:ascii="標楷體" w:eastAsia="標楷體" w:hAnsi="標楷體" w:hint="eastAsia"/>
        </w:rPr>
        <w:t>並蓋用各</w:t>
      </w:r>
      <w:proofErr w:type="gramEnd"/>
      <w:r w:rsidRPr="004E2157">
        <w:rPr>
          <w:rFonts w:ascii="標楷體" w:eastAsia="標楷體" w:hAnsi="標楷體" w:hint="eastAsia"/>
        </w:rPr>
        <w:t>該團體圖記及由監事會推派之監事或由監事會召集人（常務監事）簽章後，始生效力。許可設立中之</w:t>
      </w:r>
      <w:proofErr w:type="gramStart"/>
      <w:r w:rsidRPr="004E2157">
        <w:rPr>
          <w:rFonts w:ascii="標楷體" w:eastAsia="標楷體" w:hAnsi="標楷體" w:hint="eastAsia"/>
        </w:rPr>
        <w:t>團體蓋用籌備會</w:t>
      </w:r>
      <w:proofErr w:type="gramEnd"/>
      <w:r w:rsidRPr="004E2157">
        <w:rPr>
          <w:rFonts w:ascii="標楷體" w:eastAsia="標楷體" w:hAnsi="標楷體" w:hint="eastAsia"/>
        </w:rPr>
        <w:t>戳記及由召集人簽章。（選8）</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人民團體之選舉或罷免，於發票前主席應宣佈停止辦理簽到，並報告出席人數及投票截止時間後，由發票員開始發票。(選12)</w:t>
      </w:r>
    </w:p>
    <w:p w:rsidR="00096EFE" w:rsidRPr="004E2157" w:rsidRDefault="00096EFE">
      <w:pPr>
        <w:numPr>
          <w:ilvl w:val="0"/>
          <w:numId w:val="3"/>
        </w:numPr>
        <w:rPr>
          <w:rFonts w:ascii="標楷體" w:eastAsia="標楷體" w:hAnsi="標楷體" w:hint="eastAsia"/>
        </w:rPr>
      </w:pPr>
      <w:r w:rsidRPr="004E2157">
        <w:rPr>
          <w:rFonts w:ascii="標楷體" w:eastAsia="標楷體" w:hAnsi="標楷體" w:hint="eastAsia"/>
        </w:rPr>
        <w:t>人民團體之選舉或罷免，應設置投票</w:t>
      </w:r>
      <w:proofErr w:type="gramStart"/>
      <w:r w:rsidRPr="004E2157">
        <w:rPr>
          <w:rFonts w:ascii="標楷體" w:eastAsia="標楷體" w:hAnsi="標楷體" w:hint="eastAsia"/>
        </w:rPr>
        <w:t>匭</w:t>
      </w:r>
      <w:proofErr w:type="gramEnd"/>
      <w:r w:rsidRPr="004E2157">
        <w:rPr>
          <w:rFonts w:ascii="標楷體" w:eastAsia="標楷體" w:hAnsi="標楷體" w:hint="eastAsia"/>
        </w:rPr>
        <w:t>，經監票員檢查後，當場封閉。（選14）</w:t>
      </w:r>
    </w:p>
    <w:p w:rsidR="00096EFE" w:rsidRPr="004E2157" w:rsidRDefault="00096EFE">
      <w:pPr>
        <w:rPr>
          <w:rFonts w:ascii="標楷體" w:eastAsia="標楷體" w:hAnsi="標楷體" w:hint="eastAsia"/>
          <w:b/>
          <w:u w:val="single"/>
        </w:rPr>
      </w:pPr>
      <w:r w:rsidRPr="004E2157">
        <w:rPr>
          <w:rFonts w:ascii="標楷體" w:eastAsia="標楷體" w:hAnsi="標楷體" w:hint="eastAsia"/>
        </w:rPr>
        <w:t>選舉規定請參閱</w:t>
      </w:r>
      <w:r w:rsidRPr="004E2157">
        <w:rPr>
          <w:rFonts w:ascii="標楷體" w:eastAsia="標楷體" w:hAnsi="標楷體" w:hint="eastAsia"/>
          <w:b/>
          <w:u w:val="single"/>
        </w:rPr>
        <w:t>人民團體選舉罷免辦法</w:t>
      </w:r>
    </w:p>
    <w:p w:rsidR="00096EFE" w:rsidRPr="004E2157" w:rsidRDefault="00096EFE">
      <w:pPr>
        <w:rPr>
          <w:rFonts w:ascii="標楷體" w:eastAsia="標楷體" w:hAnsi="標楷體" w:hint="eastAsia"/>
        </w:rPr>
      </w:pPr>
      <w:r w:rsidRPr="004E2157">
        <w:rPr>
          <w:rFonts w:ascii="標楷體" w:eastAsia="標楷體" w:hAnsi="標楷體" w:hint="eastAsia"/>
        </w:rPr>
        <w:t>本流程說明未列出者，悉依有關法令規定辦理。</w:t>
      </w: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rPr>
      </w:pPr>
    </w:p>
    <w:p w:rsidR="00096EFE" w:rsidRPr="004E2157" w:rsidRDefault="00096EFE">
      <w:pPr>
        <w:rPr>
          <w:rFonts w:ascii="標楷體" w:eastAsia="標楷體" w:hAnsi="標楷體" w:hint="eastAsia"/>
          <w:b/>
          <w:bCs/>
          <w:sz w:val="28"/>
        </w:rPr>
      </w:pPr>
      <w:r w:rsidRPr="004E2157">
        <w:rPr>
          <w:rFonts w:ascii="標楷體" w:eastAsia="標楷體" w:hAnsi="標楷體" w:hint="eastAsia"/>
          <w:b/>
          <w:bCs/>
          <w:sz w:val="28"/>
        </w:rPr>
        <w:t>改選理監事作業流程說明</w:t>
      </w:r>
      <w:proofErr w:type="gramStart"/>
      <w:r w:rsidRPr="004E2157">
        <w:rPr>
          <w:rFonts w:ascii="標楷體" w:eastAsia="標楷體" w:hAnsi="標楷體" w:hint="eastAsia"/>
          <w:b/>
          <w:bCs/>
          <w:sz w:val="28"/>
        </w:rPr>
        <w:t>三</w:t>
      </w:r>
      <w:proofErr w:type="gramEnd"/>
    </w:p>
    <w:p w:rsidR="00096EFE" w:rsidRPr="004E2157" w:rsidRDefault="00096EFE">
      <w:pPr>
        <w:numPr>
          <w:ilvl w:val="0"/>
          <w:numId w:val="4"/>
        </w:numPr>
        <w:rPr>
          <w:rFonts w:ascii="標楷體" w:eastAsia="標楷體" w:hAnsi="標楷體" w:hint="eastAsia"/>
        </w:rPr>
      </w:pPr>
      <w:r w:rsidRPr="004E2157">
        <w:rPr>
          <w:rFonts w:ascii="標楷體" w:eastAsia="標楷體" w:hAnsi="標楷體" w:hint="eastAsia"/>
        </w:rPr>
        <w:t>人民團體之理事、監事選出後，應於大會閉會之第七日起至十五日內分別召開理事會、監事會，由原任理事長、監事會召集人（常務監事）召集之，許可設立中之團體由籌備會召集人召集，如逾期不為召集時，由得票最多數之理事、監事或由主管機關指定理事、監事召集之。無法於前述時間內召開，得報請主管機關核准延長之。理事會、監事會會議於大會當日召開者，應於召開會員（會員代表）大會時一併通知。但依法令或章程規定，理事、監事之當選不限於出席之會員（會員代表）者，不得於大會當日召開理事會、監事會會議。（選20）</w:t>
      </w:r>
    </w:p>
    <w:p w:rsidR="00096EFE" w:rsidRPr="004E2157" w:rsidRDefault="00096EFE">
      <w:pPr>
        <w:numPr>
          <w:ilvl w:val="0"/>
          <w:numId w:val="4"/>
        </w:numPr>
        <w:rPr>
          <w:rFonts w:ascii="標楷體" w:eastAsia="標楷體" w:hAnsi="標楷體" w:hint="eastAsia"/>
        </w:rPr>
      </w:pPr>
      <w:r w:rsidRPr="004E2157">
        <w:rPr>
          <w:rFonts w:ascii="標楷體" w:eastAsia="標楷體" w:hAnsi="標楷體" w:hint="eastAsia"/>
        </w:rPr>
        <w:t>人民團體理事、監事之任期應自召開本屆第一次理事會之日起計算。（選45）</w:t>
      </w:r>
    </w:p>
    <w:p w:rsidR="00096EFE" w:rsidRPr="004E2157" w:rsidRDefault="00096EFE">
      <w:pPr>
        <w:numPr>
          <w:ilvl w:val="0"/>
          <w:numId w:val="4"/>
        </w:numPr>
        <w:rPr>
          <w:rFonts w:ascii="標楷體" w:eastAsia="標楷體" w:hAnsi="標楷體" w:hint="eastAsia"/>
        </w:rPr>
      </w:pPr>
      <w:r w:rsidRPr="004E2157">
        <w:rPr>
          <w:rFonts w:ascii="標楷體" w:eastAsia="標楷體" w:hAnsi="標楷體" w:hint="eastAsia"/>
        </w:rPr>
        <w:t>工作人員不得由選任之職員（理監事）擔任。（工8）</w:t>
      </w:r>
    </w:p>
    <w:p w:rsidR="00096EFE" w:rsidRPr="004E2157" w:rsidRDefault="00096EFE">
      <w:pPr>
        <w:numPr>
          <w:ilvl w:val="0"/>
          <w:numId w:val="4"/>
        </w:numPr>
        <w:rPr>
          <w:rFonts w:ascii="標楷體" w:eastAsia="標楷體" w:hAnsi="標楷體" w:hint="eastAsia"/>
        </w:rPr>
      </w:pPr>
      <w:r w:rsidRPr="004E2157">
        <w:rPr>
          <w:rFonts w:ascii="標楷體" w:eastAsia="標楷體" w:hAnsi="標楷體" w:hint="eastAsia"/>
        </w:rPr>
        <w:t>社會團體聘僱工作人員，應由理事長依規定遴選，提經理事會通過，報請主管機關備查。（工10）</w:t>
      </w:r>
    </w:p>
    <w:p w:rsidR="00096EFE" w:rsidRPr="004E2157" w:rsidRDefault="00096EFE">
      <w:pPr>
        <w:rPr>
          <w:rFonts w:ascii="標楷體" w:eastAsia="標楷體" w:hAnsi="標楷體" w:hint="eastAsia"/>
        </w:rPr>
      </w:pPr>
      <w:r w:rsidRPr="004E2157">
        <w:rPr>
          <w:rFonts w:ascii="標楷體" w:eastAsia="標楷體" w:hAnsi="標楷體" w:hint="eastAsia"/>
        </w:rPr>
        <w:t>本流程說明未列出者，悉依有關法令規定辦理。</w:t>
      </w:r>
    </w:p>
    <w:sectPr w:rsidR="00096EFE" w:rsidRPr="004E2157">
      <w:pgSz w:w="11906" w:h="16838"/>
      <w:pgMar w:top="1440" w:right="1800" w:bottom="107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68C"/>
    <w:multiLevelType w:val="singleLevel"/>
    <w:tmpl w:val="73D67C0A"/>
    <w:lvl w:ilvl="0">
      <w:start w:val="1"/>
      <w:numFmt w:val="taiwaneseCountingThousand"/>
      <w:lvlText w:val="%1、"/>
      <w:lvlJc w:val="left"/>
      <w:pPr>
        <w:tabs>
          <w:tab w:val="num" w:pos="330"/>
        </w:tabs>
        <w:ind w:left="510" w:hanging="510"/>
      </w:pPr>
      <w:rPr>
        <w:rFonts w:ascii="Times New Roman" w:hint="eastAsia"/>
      </w:rPr>
    </w:lvl>
  </w:abstractNum>
  <w:abstractNum w:abstractNumId="1" w15:restartNumberingAfterBreak="0">
    <w:nsid w:val="1261433D"/>
    <w:multiLevelType w:val="singleLevel"/>
    <w:tmpl w:val="5D3C5358"/>
    <w:lvl w:ilvl="0">
      <w:start w:val="1"/>
      <w:numFmt w:val="taiwaneseCountingThousand"/>
      <w:lvlText w:val="%1、"/>
      <w:lvlJc w:val="left"/>
      <w:pPr>
        <w:tabs>
          <w:tab w:val="num" w:pos="390"/>
        </w:tabs>
        <w:ind w:left="390" w:hanging="390"/>
      </w:pPr>
      <w:rPr>
        <w:rFonts w:hint="eastAsia"/>
      </w:rPr>
    </w:lvl>
  </w:abstractNum>
  <w:abstractNum w:abstractNumId="2" w15:restartNumberingAfterBreak="0">
    <w:nsid w:val="15837C34"/>
    <w:multiLevelType w:val="singleLevel"/>
    <w:tmpl w:val="6F0EDF26"/>
    <w:lvl w:ilvl="0">
      <w:start w:val="1"/>
      <w:numFmt w:val="taiwaneseCountingThousand"/>
      <w:lvlText w:val="%1、"/>
      <w:lvlJc w:val="left"/>
      <w:pPr>
        <w:tabs>
          <w:tab w:val="num" w:pos="480"/>
        </w:tabs>
        <w:ind w:left="480" w:hanging="480"/>
      </w:pPr>
      <w:rPr>
        <w:rFonts w:hint="eastAsia"/>
        <w:sz w:val="24"/>
      </w:rPr>
    </w:lvl>
  </w:abstractNum>
  <w:abstractNum w:abstractNumId="3" w15:restartNumberingAfterBreak="0">
    <w:nsid w:val="4DC67889"/>
    <w:multiLevelType w:val="singleLevel"/>
    <w:tmpl w:val="DA9E6C46"/>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57"/>
    <w:rsid w:val="00096EFE"/>
    <w:rsid w:val="004E2157"/>
    <w:rsid w:val="008A4D61"/>
    <w:rsid w:val="00D468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allout" idref="#_x0000_s1036"/>
        <o:r id="V:Rule2" type="callout" idref="#_x0000_s1037"/>
        <o:r id="V:Rule3" type="callout" idref="#_x0000_s1039"/>
      </o:rules>
    </o:shapelayout>
  </w:shapeDefaults>
  <w:decimalSymbol w:val="."/>
  <w:listSeparator w:val=","/>
  <w15:chartTrackingRefBased/>
  <w15:docId w15:val="{15A7BB38-D567-4EB8-804C-C5DA137A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1762</Characters>
  <Application>Microsoft Office Word</Application>
  <DocSecurity>0</DocSecurity>
  <Lines>14</Lines>
  <Paragraphs>4</Paragraphs>
  <ScaleCrop>false</ScaleCrop>
  <Company>b</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倩華 吳</cp:lastModifiedBy>
  <cp:revision>2</cp:revision>
  <dcterms:created xsi:type="dcterms:W3CDTF">2021-12-27T07:04:00Z</dcterms:created>
  <dcterms:modified xsi:type="dcterms:W3CDTF">2021-12-27T07:04:00Z</dcterms:modified>
</cp:coreProperties>
</file>