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連江縣政府開源節流措施暨獎懲實施要點</w:t>
      </w:r>
      <w:bookmarkStart w:id="0" w:name="_GoBack"/>
      <w:bookmarkEnd w:id="0"/>
    </w:p>
    <w:p>
      <w:pPr>
        <w:pStyle w:val="Normal"/>
        <w:jc w:val="right"/>
        <w:rPr>
          <w:rFonts w:ascii="標楷體" w:hAnsi="標楷體" w:eastAsia="標楷體"/>
        </w:rPr>
      </w:pPr>
      <w:r>
        <w:rPr>
          <w:rFonts w:ascii="標楷體" w:hAnsi="標楷體" w:eastAsia="標楷體"/>
        </w:rPr>
        <w:t xml:space="preserve">                            </w:t>
      </w:r>
      <w:r>
        <w:rPr>
          <w:rFonts w:ascii="標楷體" w:hAnsi="標楷體" w:eastAsia="標楷體"/>
        </w:rPr>
        <w:t>中華民國</w:t>
      </w:r>
      <w:r>
        <w:rPr>
          <w:rFonts w:eastAsia="標楷體" w:ascii="標楷體" w:hAnsi="標楷體"/>
        </w:rPr>
        <w:t>102</w:t>
      </w:r>
      <w:r>
        <w:rPr>
          <w:rFonts w:ascii="標楷體" w:hAnsi="標楷體" w:eastAsia="標楷體"/>
        </w:rPr>
        <w:t>年</w:t>
      </w:r>
      <w:r>
        <w:rPr>
          <w:rFonts w:eastAsia="標楷體" w:ascii="標楷體" w:hAnsi="標楷體"/>
        </w:rPr>
        <w:t>9</w:t>
      </w:r>
      <w:r>
        <w:rPr>
          <w:rFonts w:ascii="標楷體" w:hAnsi="標楷體" w:eastAsia="標楷體"/>
        </w:rPr>
        <w:t>月</w:t>
      </w:r>
      <w:r>
        <w:rPr>
          <w:rFonts w:eastAsia="標楷體" w:ascii="標楷體" w:hAnsi="標楷體"/>
        </w:rPr>
        <w:t>26</w:t>
      </w:r>
      <w:r>
        <w:rPr>
          <w:rFonts w:ascii="標楷體" w:hAnsi="標楷體" w:eastAsia="標楷體"/>
        </w:rPr>
        <w:t>日連財務字第</w:t>
      </w:r>
      <w:r>
        <w:rPr>
          <w:rFonts w:eastAsia="標楷體" w:ascii="標楷體" w:hAnsi="標楷體"/>
        </w:rPr>
        <w:t>1020037056</w:t>
      </w:r>
      <w:r>
        <w:rPr>
          <w:rFonts w:ascii="標楷體" w:hAnsi="標楷體" w:eastAsia="標楷體"/>
        </w:rPr>
        <w:t>號函訂定</w:t>
      </w:r>
    </w:p>
    <w:p>
      <w:pPr>
        <w:pStyle w:val="Normal"/>
        <w:jc w:val="right"/>
        <w:rPr>
          <w:rFonts w:ascii="標楷體" w:hAnsi="標楷體" w:eastAsia="標楷體"/>
        </w:rPr>
      </w:pPr>
      <w:r>
        <w:rPr>
          <w:rFonts w:ascii="標楷體" w:hAnsi="標楷體" w:eastAsia="標楷體"/>
        </w:rPr>
        <w:t xml:space="preserve">                            </w:t>
      </w:r>
      <w:r>
        <w:rPr>
          <w:rFonts w:ascii="標楷體" w:hAnsi="標楷體" w:eastAsia="標楷體"/>
        </w:rPr>
        <w:t>中華民國</w:t>
      </w:r>
      <w:r>
        <w:rPr>
          <w:rFonts w:eastAsia="標楷體" w:ascii="標楷體" w:hAnsi="標楷體"/>
        </w:rPr>
        <w:t>105</w:t>
      </w:r>
      <w:r>
        <w:rPr>
          <w:rFonts w:ascii="標楷體" w:hAnsi="標楷體" w:eastAsia="標楷體"/>
        </w:rPr>
        <w:t>年</w:t>
      </w:r>
      <w:r>
        <w:rPr>
          <w:rFonts w:eastAsia="標楷體" w:ascii="標楷體" w:hAnsi="標楷體"/>
        </w:rPr>
        <w:t>2</w:t>
      </w:r>
      <w:r>
        <w:rPr>
          <w:rFonts w:ascii="標楷體" w:hAnsi="標楷體" w:eastAsia="標楷體"/>
        </w:rPr>
        <w:t>月</w:t>
      </w:r>
      <w:r>
        <w:rPr>
          <w:rFonts w:eastAsia="標楷體" w:ascii="標楷體" w:hAnsi="標楷體"/>
        </w:rPr>
        <w:t>23</w:t>
      </w:r>
      <w:r>
        <w:rPr>
          <w:rFonts w:ascii="標楷體" w:hAnsi="標楷體" w:eastAsia="標楷體"/>
        </w:rPr>
        <w:t>日連財務字第</w:t>
      </w:r>
      <w:r>
        <w:rPr>
          <w:rFonts w:eastAsia="標楷體" w:ascii="標楷體" w:hAnsi="標楷體"/>
        </w:rPr>
        <w:t>1050007452</w:t>
      </w:r>
      <w:r>
        <w:rPr>
          <w:rFonts w:ascii="標楷體" w:hAnsi="標楷體" w:eastAsia="標楷體"/>
        </w:rPr>
        <w:t>號函修正</w:t>
      </w:r>
    </w:p>
    <w:p>
      <w:pPr>
        <w:pStyle w:val="Normal"/>
        <w:jc w:val="right"/>
        <w:rPr>
          <w:rFonts w:ascii="標楷體" w:hAnsi="標楷體" w:eastAsia="標楷體"/>
        </w:rPr>
      </w:pPr>
      <w:r>
        <w:rPr>
          <w:rFonts w:ascii="標楷體" w:hAnsi="標楷體" w:eastAsia="標楷體"/>
        </w:rPr>
        <w:t xml:space="preserve">                            </w:t>
      </w:r>
      <w:r>
        <w:rPr>
          <w:rFonts w:ascii="標楷體" w:hAnsi="標楷體" w:eastAsia="標楷體"/>
        </w:rPr>
        <w:t>中華民國</w:t>
      </w:r>
      <w:r>
        <w:rPr>
          <w:rFonts w:eastAsia="標楷體" w:ascii="標楷體" w:hAnsi="標楷體"/>
        </w:rPr>
        <w:t>105</w:t>
      </w:r>
      <w:r>
        <w:rPr>
          <w:rFonts w:ascii="標楷體" w:hAnsi="標楷體" w:eastAsia="標楷體"/>
        </w:rPr>
        <w:t>年</w:t>
      </w:r>
      <w:r>
        <w:rPr>
          <w:rFonts w:eastAsia="標楷體" w:ascii="標楷體" w:hAnsi="標楷體"/>
        </w:rPr>
        <w:t>7</w:t>
      </w:r>
      <w:r>
        <w:rPr>
          <w:rFonts w:ascii="標楷體" w:hAnsi="標楷體" w:eastAsia="標楷體"/>
        </w:rPr>
        <w:t>月</w:t>
      </w:r>
      <w:r>
        <w:rPr>
          <w:rFonts w:eastAsia="標楷體" w:ascii="標楷體" w:hAnsi="標楷體"/>
        </w:rPr>
        <w:t>20</w:t>
      </w:r>
      <w:r>
        <w:rPr>
          <w:rFonts w:ascii="標楷體" w:hAnsi="標楷體" w:eastAsia="標楷體"/>
        </w:rPr>
        <w:t>日連財務字第</w:t>
      </w:r>
      <w:r>
        <w:rPr>
          <w:rFonts w:eastAsia="標楷體" w:ascii="標楷體" w:hAnsi="標楷體"/>
        </w:rPr>
        <w:t>1050030167</w:t>
      </w:r>
      <w:r>
        <w:rPr>
          <w:rFonts w:ascii="標楷體" w:hAnsi="標楷體" w:eastAsia="標楷體"/>
        </w:rPr>
        <w:t xml:space="preserve">號函修正                                                     </w:t>
      </w:r>
    </w:p>
    <w:p>
      <w:pPr>
        <w:pStyle w:val="Normal"/>
        <w:jc w:val="right"/>
        <w:rPr>
          <w:rFonts w:ascii="標楷體" w:hAnsi="標楷體" w:eastAsia="標楷體"/>
        </w:rPr>
      </w:pPr>
      <w:r>
        <w:rPr>
          <w:rFonts w:ascii="標楷體" w:hAnsi="標楷體" w:eastAsia="標楷體"/>
        </w:rPr>
        <w:t xml:space="preserve">                             </w:t>
      </w:r>
      <w:r>
        <w:rPr>
          <w:rFonts w:ascii="標楷體" w:hAnsi="標楷體" w:eastAsia="標楷體"/>
        </w:rPr>
        <w:t>中華民國</w:t>
      </w:r>
      <w:r>
        <w:rPr>
          <w:rFonts w:eastAsia="標楷體" w:ascii="標楷體" w:hAnsi="標楷體"/>
        </w:rPr>
        <w:t>107</w:t>
      </w:r>
      <w:r>
        <w:rPr>
          <w:rFonts w:ascii="標楷體" w:hAnsi="標楷體" w:eastAsia="標楷體"/>
        </w:rPr>
        <w:t>年</w:t>
      </w:r>
      <w:r>
        <w:rPr>
          <w:rFonts w:eastAsia="標楷體" w:ascii="標楷體" w:hAnsi="標楷體"/>
        </w:rPr>
        <w:t>11</w:t>
      </w:r>
      <w:r>
        <w:rPr>
          <w:rFonts w:ascii="標楷體" w:hAnsi="標楷體" w:eastAsia="標楷體"/>
        </w:rPr>
        <w:t>月</w:t>
      </w:r>
      <w:r>
        <w:rPr>
          <w:rFonts w:eastAsia="標楷體" w:ascii="標楷體" w:hAnsi="標楷體"/>
        </w:rPr>
        <w:t>28</w:t>
      </w:r>
      <w:r>
        <w:rPr>
          <w:rFonts w:ascii="標楷體" w:hAnsi="標楷體" w:eastAsia="標楷體"/>
        </w:rPr>
        <w:t>日府授財字第</w:t>
      </w:r>
      <w:r>
        <w:rPr>
          <w:rFonts w:eastAsia="標楷體" w:ascii="標楷體" w:hAnsi="標楷體"/>
        </w:rPr>
        <w:t>1070045924</w:t>
      </w:r>
      <w:r>
        <w:rPr>
          <w:rFonts w:ascii="標楷體" w:hAnsi="標楷體" w:eastAsia="標楷體"/>
        </w:rPr>
        <w:t>號函修正</w:t>
      </w:r>
    </w:p>
    <w:p>
      <w:pPr>
        <w:pStyle w:val="Normal"/>
        <w:jc w:val="right"/>
        <w:rPr>
          <w:rFonts w:ascii="標楷體" w:hAnsi="標楷體" w:eastAsia="標楷體"/>
        </w:rPr>
      </w:pPr>
      <w:r>
        <w:rPr>
          <w:rFonts w:ascii="標楷體" w:hAnsi="標楷體" w:eastAsia="標楷體"/>
        </w:rPr>
        <w:t xml:space="preserve">                              </w:t>
      </w:r>
      <w:r>
        <w:rPr>
          <w:rFonts w:ascii="標楷體" w:hAnsi="標楷體" w:eastAsia="標楷體"/>
        </w:rPr>
        <w:t>中華民國</w:t>
      </w:r>
      <w:r>
        <w:rPr>
          <w:rFonts w:eastAsia="標楷體" w:ascii="標楷體" w:hAnsi="標楷體"/>
        </w:rPr>
        <w:t>108</w:t>
      </w:r>
      <w:r>
        <w:rPr>
          <w:rFonts w:ascii="標楷體" w:hAnsi="標楷體" w:eastAsia="標楷體"/>
        </w:rPr>
        <w:t>年</w:t>
      </w:r>
      <w:r>
        <w:rPr>
          <w:rFonts w:eastAsia="標楷體" w:ascii="標楷體" w:hAnsi="標楷體"/>
        </w:rPr>
        <w:t>8</w:t>
      </w:r>
      <w:r>
        <w:rPr>
          <w:rFonts w:ascii="標楷體" w:hAnsi="標楷體" w:eastAsia="標楷體"/>
        </w:rPr>
        <w:t>月</w:t>
      </w:r>
      <w:r>
        <w:rPr>
          <w:rFonts w:eastAsia="標楷體" w:ascii="標楷體" w:hAnsi="標楷體"/>
        </w:rPr>
        <w:t>29</w:t>
      </w:r>
      <w:r>
        <w:rPr>
          <w:rFonts w:ascii="標楷體" w:hAnsi="標楷體" w:eastAsia="標楷體"/>
        </w:rPr>
        <w:t>日府授財字第</w:t>
      </w:r>
      <w:r>
        <w:rPr>
          <w:rFonts w:eastAsia="標楷體" w:ascii="標楷體" w:hAnsi="標楷體"/>
        </w:rPr>
        <w:t>1080034102</w:t>
      </w:r>
      <w:r>
        <w:rPr>
          <w:rFonts w:ascii="標楷體" w:hAnsi="標楷體" w:eastAsia="標楷體"/>
        </w:rPr>
        <w:t>號函修正</w:t>
      </w:r>
    </w:p>
    <w:p>
      <w:pPr>
        <w:pStyle w:val="ListParagraph"/>
        <w:numPr>
          <w:ilvl w:val="0"/>
          <w:numId w:val="4"/>
        </w:numPr>
        <w:spacing w:lineRule="exact" w:line="400"/>
        <w:jc w:val="both"/>
        <w:rPr>
          <w:rFonts w:ascii="標楷體" w:hAnsi="標楷體" w:eastAsia="標楷體"/>
          <w:sz w:val="24"/>
        </w:rPr>
      </w:pPr>
      <w:r>
        <w:rPr>
          <w:rFonts w:ascii="標楷體" w:hAnsi="標楷體" w:eastAsia="標楷體"/>
          <w:sz w:val="24"/>
        </w:rPr>
        <w:t>為籌措連江縣政府</w:t>
      </w:r>
      <w:r>
        <w:rPr>
          <w:rFonts w:eastAsia="標楷體" w:ascii="標楷體" w:hAnsi="標楷體"/>
          <w:sz w:val="24"/>
        </w:rPr>
        <w:t>(</w:t>
      </w:r>
      <w:r>
        <w:rPr>
          <w:rFonts w:ascii="標楷體" w:hAnsi="標楷體" w:eastAsia="標楷體"/>
          <w:sz w:val="24"/>
        </w:rPr>
        <w:t>以下簡稱本府</w:t>
      </w:r>
      <w:r>
        <w:rPr>
          <w:rFonts w:eastAsia="標楷體" w:ascii="標楷體" w:hAnsi="標楷體"/>
          <w:sz w:val="24"/>
        </w:rPr>
        <w:t>)</w:t>
      </w:r>
      <w:r>
        <w:rPr>
          <w:rFonts w:ascii="標楷體" w:hAnsi="標楷體" w:eastAsia="標楷體"/>
          <w:sz w:val="24"/>
        </w:rPr>
        <w:t>財源，增裕縣庫收入，減少不經濟支出</w:t>
      </w:r>
    </w:p>
    <w:p>
      <w:pPr>
        <w:pStyle w:val="ListParagraph"/>
        <w:spacing w:lineRule="exact" w:line="400"/>
        <w:jc w:val="both"/>
        <w:rPr>
          <w:rFonts w:ascii="標楷體" w:hAnsi="標楷體" w:eastAsia="標楷體"/>
          <w:sz w:val="24"/>
        </w:rPr>
      </w:pPr>
      <w:r>
        <w:rPr>
          <w:rFonts w:ascii="標楷體" w:hAnsi="標楷體" w:eastAsia="標楷體"/>
          <w:sz w:val="24"/>
        </w:rPr>
        <w:t>並激發本府創意，促使本府各單位暨所屬機關學校提出開源節流實施項目</w:t>
      </w:r>
    </w:p>
    <w:p>
      <w:pPr>
        <w:pStyle w:val="Normal"/>
        <w:spacing w:lineRule="exact" w:line="400"/>
        <w:ind w:left="518" w:hanging="518"/>
        <w:jc w:val="both"/>
        <w:rPr>
          <w:rFonts w:ascii="Times New Roman" w:hAnsi="Times New Roman"/>
          <w:sz w:val="24"/>
        </w:rPr>
      </w:pPr>
      <w:r>
        <w:rPr>
          <w:rFonts w:ascii="標楷體" w:hAnsi="標楷體" w:eastAsia="標楷體"/>
          <w:sz w:val="24"/>
        </w:rPr>
        <w:t xml:space="preserve">    </w:t>
      </w:r>
      <w:r>
        <w:rPr>
          <w:rFonts w:ascii="標楷體" w:hAnsi="標楷體" w:eastAsia="標楷體"/>
          <w:sz w:val="24"/>
        </w:rPr>
        <w:t>及力行開源節流措施，特訂定本實施要點。</w:t>
      </w:r>
    </w:p>
    <w:p>
      <w:pPr>
        <w:pStyle w:val="Normal"/>
        <w:spacing w:lineRule="exact" w:line="400"/>
        <w:jc w:val="both"/>
        <w:rPr>
          <w:rFonts w:ascii="Times New Roman" w:hAnsi="Times New Roman"/>
          <w:sz w:val="24"/>
        </w:rPr>
      </w:pPr>
      <w:r>
        <w:rPr>
          <w:rFonts w:ascii="標楷體" w:hAnsi="標楷體" w:eastAsia="標楷體"/>
          <w:sz w:val="24"/>
        </w:rPr>
        <w:t>二、本要點獎懲對象為開源節流項目提報人及本府各單位暨所屬機關。</w:t>
      </w:r>
    </w:p>
    <w:p>
      <w:pPr>
        <w:pStyle w:val="Normal"/>
        <w:spacing w:lineRule="exact" w:line="400"/>
        <w:ind w:left="480" w:hanging="480"/>
        <w:jc w:val="both"/>
        <w:rPr>
          <w:rFonts w:ascii="標楷體" w:hAnsi="標楷體" w:eastAsia="標楷體"/>
          <w:sz w:val="24"/>
        </w:rPr>
      </w:pPr>
      <w:r>
        <w:rPr>
          <w:rFonts w:ascii="標楷體" w:hAnsi="標楷體" w:eastAsia="標楷體"/>
          <w:sz w:val="24"/>
        </w:rPr>
        <w:t>三、</w:t>
      </w:r>
      <w:r>
        <w:rPr>
          <w:rFonts w:ascii="標楷體" w:hAnsi="標楷體" w:eastAsia="標楷體"/>
          <w:sz w:val="24"/>
          <w:szCs w:val="24"/>
        </w:rPr>
        <w:t>本要點之開源節流措施及獎懲標準如附表。</w:t>
      </w:r>
    </w:p>
    <w:p>
      <w:pPr>
        <w:pStyle w:val="Normal"/>
        <w:spacing w:lineRule="exact" w:line="400"/>
        <w:ind w:left="480" w:hanging="480"/>
        <w:jc w:val="both"/>
        <w:rPr>
          <w:rFonts w:ascii="標楷體" w:hAnsi="標楷體" w:eastAsia="標楷體"/>
          <w:sz w:val="24"/>
        </w:rPr>
      </w:pPr>
      <w:r>
        <w:rPr>
          <w:rFonts w:ascii="標楷體" w:hAnsi="標楷體" w:eastAsia="標楷體"/>
          <w:sz w:val="24"/>
        </w:rPr>
        <w:t>四、本實施要點開源措施由財政稅務局負責督導，節流措施由本府主計處負責督</w:t>
      </w:r>
    </w:p>
    <w:p>
      <w:pPr>
        <w:pStyle w:val="Normal"/>
        <w:spacing w:lineRule="exact" w:line="400"/>
        <w:ind w:left="480" w:hanging="480"/>
        <w:jc w:val="both"/>
        <w:rPr>
          <w:rFonts w:ascii="Times New Roman" w:hAnsi="Times New Roman"/>
          <w:sz w:val="24"/>
        </w:rPr>
      </w:pPr>
      <w:r>
        <w:rPr>
          <w:rFonts w:ascii="標楷體" w:hAnsi="標楷體" w:eastAsia="標楷體"/>
          <w:sz w:val="24"/>
        </w:rPr>
        <w:t xml:space="preserve">    </w:t>
      </w:r>
      <w:r>
        <w:rPr>
          <w:rFonts w:ascii="標楷體" w:hAnsi="標楷體" w:eastAsia="標楷體"/>
          <w:sz w:val="24"/>
        </w:rPr>
        <w:t>導。</w:t>
      </w:r>
    </w:p>
    <w:p>
      <w:pPr>
        <w:pStyle w:val="Normal"/>
        <w:spacing w:lineRule="exact" w:line="400"/>
        <w:ind w:left="480" w:hanging="480"/>
        <w:jc w:val="both"/>
        <w:rPr>
          <w:rFonts w:ascii="標楷體" w:hAnsi="標楷體" w:eastAsia="標楷體"/>
          <w:sz w:val="24"/>
          <w:szCs w:val="24"/>
        </w:rPr>
      </w:pPr>
      <w:r>
        <w:rPr>
          <w:rFonts w:ascii="標楷體" w:hAnsi="標楷體" w:eastAsia="標楷體"/>
          <w:sz w:val="24"/>
        </w:rPr>
        <w:t>五、開源措施預期效益及執行成果應填列於附件一「開源措施執行明細表」，</w:t>
      </w:r>
      <w:r>
        <w:rPr>
          <w:rFonts w:ascii="標楷體" w:hAnsi="標楷體" w:eastAsia="標楷體"/>
          <w:sz w:val="24"/>
          <w:szCs w:val="24"/>
        </w:rPr>
        <w:t>清理行政罰鍰績效按各單位填具之年度「應收未收行政罰鍰情形調查表」，財政稅務局應提供清理欠稅成果相關報表資料。</w:t>
      </w:r>
    </w:p>
    <w:p>
      <w:pPr>
        <w:pStyle w:val="Normal"/>
        <w:spacing w:lineRule="exact" w:line="400"/>
        <w:jc w:val="both"/>
        <w:rPr>
          <w:rFonts w:ascii="Times New Roman" w:hAnsi="Times New Roman"/>
          <w:sz w:val="24"/>
        </w:rPr>
      </w:pPr>
      <w:r>
        <w:rPr>
          <w:rFonts w:ascii="標楷體" w:hAnsi="標楷體" w:eastAsia="標楷體"/>
          <w:sz w:val="24"/>
        </w:rPr>
        <w:t>六、節流措施預期效益及執行成果應填列於附件二「節流措施執行明細表」。</w:t>
      </w:r>
    </w:p>
    <w:p>
      <w:pPr>
        <w:pStyle w:val="Normal"/>
        <w:spacing w:lineRule="exact" w:line="400"/>
        <w:jc w:val="both"/>
        <w:rPr>
          <w:rFonts w:ascii="標楷體" w:hAnsi="標楷體" w:eastAsia="標楷體"/>
          <w:sz w:val="24"/>
        </w:rPr>
      </w:pPr>
      <w:r>
        <w:rPr>
          <w:rFonts w:ascii="標楷體" w:hAnsi="標楷體" w:eastAsia="標楷體"/>
          <w:sz w:val="24"/>
        </w:rPr>
        <w:t>七、各單位應於年度終了</w:t>
      </w:r>
      <w:r>
        <w:rPr>
          <w:rFonts w:ascii="標楷體" w:hAnsi="標楷體" w:eastAsia="標楷體"/>
          <w:b/>
          <w:sz w:val="24"/>
        </w:rPr>
        <w:t>三</w:t>
      </w:r>
      <w:r>
        <w:rPr>
          <w:rFonts w:ascii="標楷體" w:hAnsi="標楷體" w:eastAsia="標楷體"/>
          <w:sz w:val="24"/>
        </w:rPr>
        <w:t>個月內填報執行成果年報表，開源報表送財政稅務局</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彙整，節流報表送本府主計處彙整。</w:t>
      </w:r>
    </w:p>
    <w:p>
      <w:pPr>
        <w:pStyle w:val="Normal"/>
        <w:spacing w:lineRule="exact" w:line="400"/>
        <w:jc w:val="both"/>
        <w:rPr>
          <w:rFonts w:ascii="標楷體" w:hAnsi="標楷體" w:eastAsia="標楷體"/>
          <w:sz w:val="24"/>
        </w:rPr>
      </w:pPr>
      <w:r>
        <w:rPr>
          <w:rFonts w:ascii="標楷體" w:hAnsi="標楷體" w:eastAsia="標楷體"/>
          <w:sz w:val="24"/>
        </w:rPr>
        <w:t>八、敘獎原則及方式</w:t>
      </w:r>
      <w:r>
        <w:rPr>
          <w:rFonts w:eastAsia="標楷體" w:ascii="標楷體" w:hAnsi="標楷體"/>
          <w:sz w:val="24"/>
        </w:rPr>
        <w:t>:</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（一）各單位提報敘獎應提列具體量化績效，開源績效由財政稅務局、節流</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績效由本府主計處彙整審查，專案簽奉機關首長核准後，據以辦理獎</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懲，並以適當方式揭露</w:t>
      </w:r>
      <w:r>
        <w:rPr>
          <w:rFonts w:eastAsia="標楷體" w:ascii="標楷體" w:hAnsi="標楷體"/>
          <w:sz w:val="24"/>
        </w:rPr>
        <w:t>(</w:t>
      </w:r>
      <w:r>
        <w:rPr>
          <w:rFonts w:ascii="標楷體" w:hAnsi="標楷體" w:eastAsia="標楷體"/>
          <w:sz w:val="24"/>
        </w:rPr>
        <w:t>如登載機關網站、發佈新聞稿等</w:t>
      </w:r>
      <w:r>
        <w:rPr>
          <w:rFonts w:eastAsia="標楷體" w:ascii="標楷體" w:hAnsi="標楷體"/>
          <w:sz w:val="24"/>
        </w:rPr>
        <w:t>)</w:t>
      </w:r>
      <w:r>
        <w:rPr>
          <w:rFonts w:ascii="標楷體" w:hAnsi="標楷體" w:eastAsia="標楷體"/>
          <w:sz w:val="24"/>
        </w:rPr>
        <w:t>。</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（二）每年依開源節流執行成果回報結果，評估各單位績效、辦理獎懲；各</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單位未依權責項目填報執行成果年報者，視為未執行開源節流措施，</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並列入獎懲參考。</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（三）各單位提報獎懲人數應以各該要項實際出力有功之承辦人員及主管為</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限，敘獎額度以不超過記功二次為原則，重大績效者不受此限。財政</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稅務局及本府主計處承辦開源節流措施之承辦人員及主管視其年度績</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效嘉獎二次，協辦人員嘉獎一次。</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eastAsia="標楷體" w:ascii="標楷體" w:hAnsi="標楷體"/>
          <w:sz w:val="24"/>
        </w:rPr>
        <w:t>(</w:t>
      </w:r>
      <w:r>
        <w:rPr>
          <w:rFonts w:ascii="標楷體" w:hAnsi="標楷體" w:eastAsia="標楷體"/>
          <w:sz w:val="24"/>
        </w:rPr>
        <w:t>四</w:t>
      </w:r>
      <w:r>
        <w:rPr>
          <w:rFonts w:eastAsia="標楷體" w:ascii="標楷體" w:hAnsi="標楷體"/>
          <w:sz w:val="24"/>
        </w:rPr>
        <w:t xml:space="preserve">) </w:t>
      </w:r>
      <w:r>
        <w:rPr>
          <w:rFonts w:ascii="標楷體" w:hAnsi="標楷體" w:eastAsia="標楷體"/>
          <w:sz w:val="24"/>
        </w:rPr>
        <w:t>預定可增加收入或減少支出由財政稅務局、本府主計處依獎勵核定情</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形，移請各執行機關辦理。</w:t>
      </w:r>
    </w:p>
    <w:p>
      <w:pPr>
        <w:pStyle w:val="Normal"/>
        <w:spacing w:lineRule="exact" w:line="400"/>
        <w:jc w:val="both"/>
        <w:rPr>
          <w:rFonts w:ascii="標楷體" w:hAnsi="標楷體" w:eastAsia="標楷體"/>
          <w:sz w:val="24"/>
        </w:rPr>
      </w:pPr>
      <w:r>
        <w:rPr>
          <w:rFonts w:ascii="標楷體" w:hAnsi="標楷體" w:eastAsia="標楷體"/>
          <w:sz w:val="24"/>
        </w:rPr>
        <w:t>九、本實施計畫如有未盡合宜之處，各機關可隨時向財政稅務局及本府主計處提</w:t>
      </w:r>
    </w:p>
    <w:p>
      <w:pPr>
        <w:pStyle w:val="Normal"/>
        <w:spacing w:lineRule="exact" w:line="400"/>
        <w:jc w:val="both"/>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出修正建議，適時辦理檢討修正。</w:t>
      </w:r>
    </w:p>
    <w:p>
      <w:pPr>
        <w:pStyle w:val="Normal"/>
        <w:rPr>
          <w:rFonts w:ascii="Times New Roman" w:hAnsi="Times New Roman"/>
          <w:sz w:val="24"/>
        </w:rPr>
      </w:pPr>
      <w:r>
        <w:rPr>
          <w:rFonts w:ascii="標楷體" w:hAnsi="標楷體" w:eastAsia="標楷體"/>
          <w:sz w:val="28"/>
        </w:rPr>
        <w:t>附表：連江縣政府</w:t>
      </w:r>
      <w:r>
        <w:rPr>
          <w:rFonts w:ascii="標楷體" w:hAnsi="標楷體" w:eastAsia="標楷體"/>
          <w:sz w:val="28"/>
          <w:szCs w:val="28"/>
        </w:rPr>
        <w:t>開源節流措施及獎懲標準表</w:t>
      </w:r>
      <w:r>
        <w:rPr>
          <w:rFonts w:ascii="標楷體" w:hAnsi="標楷體" w:eastAsia="標楷體"/>
          <w:sz w:val="24"/>
        </w:rPr>
        <w:t xml:space="preserve">                                      </w:t>
      </w:r>
    </w:p>
    <w:tbl>
      <w:tblPr>
        <w:tblW w:w="9060" w:type="dxa"/>
        <w:jc w:val="left"/>
        <w:tblInd w:w="-80" w:type="dxa"/>
        <w:tblCellMar>
          <w:top w:w="0" w:type="dxa"/>
          <w:left w:w="28" w:type="dxa"/>
          <w:bottom w:w="0" w:type="dxa"/>
          <w:right w:w="28" w:type="dxa"/>
        </w:tblCellMar>
        <w:tblLook w:firstRow="1" w:noVBand="1" w:lastRow="0" w:firstColumn="1" w:lastColumn="0" w:noHBand="0" w:val="04a0"/>
      </w:tblPr>
      <w:tblGrid>
        <w:gridCol w:w="5108"/>
        <w:gridCol w:w="1236"/>
        <w:gridCol w:w="17"/>
        <w:gridCol w:w="2699"/>
      </w:tblGrid>
      <w:tr>
        <w:trPr/>
        <w:tc>
          <w:tcPr>
            <w:tcW w:w="5108" w:type="dxa"/>
            <w:tcBorders>
              <w:top w:val="single" w:sz="6" w:space="0" w:color="000000"/>
              <w:left w:val="single" w:sz="6" w:space="0" w:color="000000"/>
              <w:bottom w:val="single" w:sz="6" w:space="0" w:color="000000"/>
              <w:right w:val="single" w:sz="6" w:space="0" w:color="000000"/>
            </w:tcBorders>
            <w:shd w:color="auto" w:fill="FDE9D9" w:themeFill="accent6" w:themeFillTint="33" w:val="clear"/>
          </w:tcPr>
          <w:p>
            <w:pPr>
              <w:pStyle w:val="Normal"/>
              <w:widowControl w:val="false"/>
              <w:rPr>
                <w:rFonts w:ascii="Times New Roman" w:hAnsi="Times New Roman"/>
                <w:b/>
                <w:b/>
                <w:sz w:val="24"/>
              </w:rPr>
            </w:pPr>
            <w:r>
              <w:rPr>
                <w:rFonts w:ascii="標楷體" w:hAnsi="標楷體" w:eastAsia="標楷體"/>
                <w:b/>
                <w:sz w:val="24"/>
              </w:rPr>
              <w:t>開源項目</w:t>
            </w:r>
            <w:r>
              <w:rPr>
                <w:rFonts w:eastAsia="標楷體" w:ascii="標楷體" w:hAnsi="標楷體"/>
                <w:b/>
                <w:sz w:val="24"/>
              </w:rPr>
              <w:t>(</w:t>
            </w:r>
            <w:r>
              <w:rPr>
                <w:rFonts w:ascii="標楷體" w:hAnsi="標楷體" w:eastAsia="標楷體"/>
                <w:b/>
                <w:sz w:val="24"/>
              </w:rPr>
              <w:t>財政稅務局</w:t>
            </w:r>
            <w:r>
              <w:rPr>
                <w:rFonts w:eastAsia="標楷體" w:ascii="標楷體" w:hAnsi="標楷體"/>
                <w:b/>
                <w:sz w:val="24"/>
              </w:rPr>
              <w:t>)</w:t>
            </w:r>
          </w:p>
        </w:tc>
        <w:tc>
          <w:tcPr>
            <w:tcW w:w="1253" w:type="dxa"/>
            <w:gridSpan w:val="2"/>
            <w:tcBorders>
              <w:top w:val="single" w:sz="6" w:space="0" w:color="000000"/>
              <w:left w:val="single" w:sz="6" w:space="0" w:color="000000"/>
              <w:bottom w:val="single" w:sz="6" w:space="0" w:color="000000"/>
              <w:right w:val="single" w:sz="6" w:space="0" w:color="000000"/>
            </w:tcBorders>
            <w:shd w:color="auto" w:fill="FDE9D9" w:themeFill="accent6" w:themeFillTint="33" w:val="clear"/>
          </w:tcPr>
          <w:p>
            <w:pPr>
              <w:pStyle w:val="Normal"/>
              <w:widowControl w:val="false"/>
              <w:rPr>
                <w:rFonts w:ascii="Times New Roman" w:hAnsi="Times New Roman"/>
                <w:b/>
                <w:b/>
                <w:sz w:val="24"/>
              </w:rPr>
            </w:pPr>
            <w:r>
              <w:rPr>
                <w:rFonts w:ascii="標楷體" w:hAnsi="標楷體" w:eastAsia="標楷體"/>
                <w:b/>
                <w:sz w:val="24"/>
              </w:rPr>
              <w:t>承辦單位</w:t>
            </w:r>
          </w:p>
        </w:tc>
        <w:tc>
          <w:tcPr>
            <w:tcW w:w="2699" w:type="dxa"/>
            <w:tcBorders>
              <w:top w:val="single" w:sz="6" w:space="0" w:color="000000"/>
              <w:left w:val="single" w:sz="6" w:space="0" w:color="000000"/>
              <w:bottom w:val="single" w:sz="6" w:space="0" w:color="000000"/>
              <w:right w:val="single" w:sz="6" w:space="0" w:color="000000"/>
            </w:tcBorders>
            <w:shd w:color="auto" w:fill="FDE9D9" w:themeFill="accent6" w:themeFillTint="33" w:val="clear"/>
          </w:tcPr>
          <w:p>
            <w:pPr>
              <w:pStyle w:val="Normal"/>
              <w:widowControl w:val="false"/>
              <w:jc w:val="center"/>
              <w:rPr>
                <w:rFonts w:ascii="Times New Roman" w:hAnsi="Times New Roman"/>
                <w:b/>
                <w:b/>
                <w:sz w:val="24"/>
              </w:rPr>
            </w:pPr>
            <w:r>
              <w:rPr>
                <w:rFonts w:ascii="標楷體" w:hAnsi="標楷體" w:eastAsia="標楷體"/>
                <w:b/>
                <w:sz w:val="24"/>
              </w:rPr>
              <w:t>獎懲標準</w:t>
            </w:r>
          </w:p>
        </w:tc>
      </w:tr>
      <w:tr>
        <w:trPr/>
        <w:tc>
          <w:tcPr>
            <w:tcW w:w="5108"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eastAsia="標楷體" w:ascii="標楷體" w:hAnsi="標楷體"/>
                <w:sz w:val="24"/>
              </w:rPr>
              <w:t>1.</w:t>
            </w:r>
            <w:r>
              <w:rPr>
                <w:rFonts w:ascii="標楷體" w:hAnsi="標楷體" w:eastAsia="標楷體"/>
                <w:sz w:val="24"/>
              </w:rPr>
              <w:t>擴大稅基及稅源：</w:t>
            </w:r>
          </w:p>
        </w:tc>
        <w:tc>
          <w:tcPr>
            <w:tcW w:w="1253" w:type="dxa"/>
            <w:gridSpan w:val="2"/>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c>
          <w:tcPr>
            <w:tcW w:w="2699"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Times New Roman" w:hAnsi="Times New Roman"/>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1</w:t>
            </w:r>
            <w:r>
              <w:rPr>
                <w:rFonts w:ascii="標楷體" w:hAnsi="標楷體" w:eastAsia="標楷體"/>
                <w:color w:val="000000" w:themeColor="text1"/>
                <w:sz w:val="24"/>
              </w:rPr>
              <w:t>）合理調整土地公告現值及公告地價，以增裕土地稅收。</w:t>
            </w:r>
          </w:p>
        </w:tc>
        <w:tc>
          <w:tcPr>
            <w:tcW w:w="125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民政處</w:t>
            </w:r>
          </w:p>
          <w:p>
            <w:pPr>
              <w:pStyle w:val="Normal"/>
              <w:widowControl w:val="false"/>
              <w:rPr>
                <w:rFonts w:ascii="Times New Roman" w:hAnsi="Times New Roman"/>
                <w:color w:val="000000" w:themeColor="text1"/>
                <w:sz w:val="24"/>
                <w:szCs w:val="24"/>
              </w:rPr>
            </w:pPr>
            <w:r>
              <w:rPr>
                <w:rFonts w:ascii="標楷體" w:hAnsi="標楷體" w:eastAsia="標楷體"/>
                <w:color w:val="000000" w:themeColor="text1"/>
                <w:sz w:val="24"/>
                <w:szCs w:val="24"/>
              </w:rPr>
              <w:t>地政局</w:t>
            </w:r>
          </w:p>
        </w:tc>
        <w:tc>
          <w:tcPr>
            <w:tcW w:w="269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提高</w:t>
            </w:r>
            <w:r>
              <w:rPr>
                <w:rFonts w:eastAsia="標楷體" w:ascii="標楷體" w:hAnsi="標楷體"/>
                <w:color w:val="000000" w:themeColor="text1"/>
                <w:sz w:val="24"/>
              </w:rPr>
              <w:t>3-5%</w:t>
            </w:r>
            <w:r>
              <w:rPr>
                <w:rFonts w:ascii="標楷體" w:hAnsi="標楷體" w:eastAsia="標楷體"/>
                <w:color w:val="000000" w:themeColor="text1"/>
                <w:sz w:val="24"/>
              </w:rPr>
              <w:t>：嘉獎</w:t>
            </w:r>
            <w:r>
              <w:rPr>
                <w:rFonts w:eastAsia="標楷體" w:ascii="標楷體" w:hAnsi="標楷體"/>
                <w:color w:val="000000" w:themeColor="text1"/>
                <w:sz w:val="24"/>
              </w:rPr>
              <w:t>1</w:t>
            </w:r>
            <w:r>
              <w:rPr>
                <w:rFonts w:ascii="標楷體" w:hAnsi="標楷體" w:eastAsia="標楷體"/>
                <w:color w:val="000000" w:themeColor="text1"/>
                <w:sz w:val="24"/>
              </w:rPr>
              <w:t>次、</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提高</w:t>
            </w:r>
            <w:r>
              <w:rPr>
                <w:rFonts w:eastAsia="標楷體" w:ascii="標楷體" w:hAnsi="標楷體"/>
                <w:color w:val="000000" w:themeColor="text1"/>
                <w:sz w:val="24"/>
              </w:rPr>
              <w:t>6-10%</w:t>
            </w:r>
            <w:r>
              <w:rPr>
                <w:rFonts w:ascii="標楷體" w:hAnsi="標楷體" w:eastAsia="標楷體"/>
                <w:color w:val="000000" w:themeColor="text1"/>
                <w:sz w:val="24"/>
              </w:rPr>
              <w:t>：嘉獎</w:t>
            </w:r>
            <w:r>
              <w:rPr>
                <w:rFonts w:eastAsia="標楷體" w:ascii="標楷體" w:hAnsi="標楷體"/>
                <w:color w:val="000000" w:themeColor="text1"/>
                <w:sz w:val="24"/>
              </w:rPr>
              <w:t>2</w:t>
            </w:r>
            <w:r>
              <w:rPr>
                <w:rFonts w:ascii="標楷體" w:hAnsi="標楷體" w:eastAsia="標楷體"/>
                <w:color w:val="000000" w:themeColor="text1"/>
                <w:sz w:val="24"/>
              </w:rPr>
              <w:t>次、</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提高</w:t>
            </w:r>
            <w:r>
              <w:rPr>
                <w:rFonts w:eastAsia="標楷體" w:ascii="標楷體" w:hAnsi="標楷體"/>
                <w:color w:val="000000" w:themeColor="text1"/>
                <w:sz w:val="24"/>
              </w:rPr>
              <w:t>11%</w:t>
            </w:r>
            <w:r>
              <w:rPr>
                <w:rFonts w:ascii="標楷體" w:hAnsi="標楷體" w:eastAsia="標楷體"/>
                <w:color w:val="000000" w:themeColor="text1"/>
                <w:sz w:val="24"/>
              </w:rPr>
              <w:t>以上：記功</w:t>
            </w:r>
            <w:r>
              <w:rPr>
                <w:rFonts w:eastAsia="標楷體" w:ascii="標楷體" w:hAnsi="標楷體"/>
                <w:color w:val="000000" w:themeColor="text1"/>
                <w:sz w:val="24"/>
              </w:rPr>
              <w:t>1</w:t>
            </w:r>
            <w:r>
              <w:rPr>
                <w:rFonts w:ascii="標楷體" w:hAnsi="標楷體" w:eastAsia="標楷體"/>
                <w:color w:val="000000" w:themeColor="text1"/>
                <w:sz w:val="24"/>
              </w:rPr>
              <w:t>次</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Times New Roman" w:hAnsi="Times New Roman"/>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2</w:t>
            </w:r>
            <w:r>
              <w:rPr>
                <w:rFonts w:ascii="標楷體" w:hAnsi="標楷體" w:eastAsia="標楷體"/>
                <w:color w:val="000000" w:themeColor="text1"/>
                <w:sz w:val="24"/>
              </w:rPr>
              <w:t>）重行評定房屋標準價格</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rPr>
            </w:pPr>
            <w:r>
              <w:rPr>
                <w:rFonts w:ascii="標楷體" w:hAnsi="標楷體" w:eastAsia="標楷體"/>
                <w:color w:val="000000" w:themeColor="text1"/>
              </w:rPr>
              <w:t>財政稅務局</w:t>
            </w:r>
          </w:p>
          <w:p>
            <w:pPr>
              <w:pStyle w:val="Normal"/>
              <w:widowControl w:val="false"/>
              <w:rPr>
                <w:rFonts w:ascii="標楷體" w:hAnsi="標楷體" w:eastAsia="標楷體"/>
                <w:color w:val="000000" w:themeColor="text1"/>
              </w:rPr>
            </w:pPr>
            <w:r>
              <w:rPr>
                <w:rFonts w:eastAsia="標楷體" w:ascii="標楷體" w:hAnsi="標楷體"/>
                <w:color w:val="000000" w:themeColor="text1"/>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調整後房屋總現值</w:t>
            </w:r>
            <w:r>
              <w:rPr>
                <w:rFonts w:eastAsia="標楷體" w:ascii="標楷體" w:hAnsi="標楷體"/>
                <w:color w:val="000000" w:themeColor="text1"/>
                <w:sz w:val="24"/>
              </w:rPr>
              <w:t>(</w:t>
            </w:r>
            <w:r>
              <w:rPr>
                <w:rFonts w:ascii="標楷體" w:hAnsi="標楷體" w:eastAsia="標楷體"/>
                <w:color w:val="000000" w:themeColor="text1"/>
                <w:sz w:val="24"/>
              </w:rPr>
              <w:t>扣除折舊</w:t>
            </w:r>
            <w:r>
              <w:rPr>
                <w:rFonts w:eastAsia="標楷體" w:ascii="標楷體" w:hAnsi="標楷體"/>
                <w:color w:val="000000" w:themeColor="text1"/>
                <w:sz w:val="24"/>
              </w:rPr>
              <w:t>)</w:t>
            </w:r>
            <w:r>
              <w:rPr>
                <w:rFonts w:ascii="標楷體" w:hAnsi="標楷體" w:eastAsia="標楷體"/>
                <w:color w:val="000000" w:themeColor="text1"/>
                <w:sz w:val="24"/>
              </w:rPr>
              <w:t>後：</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增加未達</w:t>
            </w:r>
            <w:r>
              <w:rPr>
                <w:rFonts w:eastAsia="標楷體" w:ascii="標楷體" w:hAnsi="標楷體"/>
                <w:color w:val="000000" w:themeColor="text1"/>
                <w:sz w:val="24"/>
              </w:rPr>
              <w:t>3%</w:t>
            </w:r>
            <w:r>
              <w:rPr>
                <w:rFonts w:ascii="標楷體" w:hAnsi="標楷體" w:eastAsia="標楷體"/>
                <w:color w:val="000000" w:themeColor="text1"/>
                <w:sz w:val="24"/>
              </w:rPr>
              <w:t>：嘉獎一次、增加達</w:t>
            </w:r>
            <w:r>
              <w:rPr>
                <w:rFonts w:eastAsia="標楷體" w:ascii="標楷體" w:hAnsi="標楷體"/>
                <w:color w:val="000000" w:themeColor="text1"/>
                <w:sz w:val="24"/>
              </w:rPr>
              <w:t>3%</w:t>
            </w:r>
            <w:r>
              <w:rPr>
                <w:rFonts w:ascii="標楷體" w:hAnsi="標楷體" w:eastAsia="標楷體"/>
                <w:color w:val="000000" w:themeColor="text1"/>
                <w:sz w:val="24"/>
              </w:rPr>
              <w:t>以上：嘉獎二次</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Times New Roman" w:hAnsi="Times New Roman"/>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3</w:t>
            </w:r>
            <w:r>
              <w:rPr>
                <w:rFonts w:ascii="標楷體" w:hAnsi="標楷體" w:eastAsia="標楷體"/>
                <w:color w:val="000000" w:themeColor="text1"/>
                <w:sz w:val="24"/>
              </w:rPr>
              <w:t>）檢討各項不合理之稅捐減免措施，並建議上級修改稅法。</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rPr>
            </w:pPr>
            <w:r>
              <w:rPr>
                <w:rFonts w:ascii="標楷體" w:hAnsi="標楷體" w:eastAsia="標楷體"/>
                <w:color w:val="000000" w:themeColor="text1"/>
              </w:rPr>
              <w:t>財政稅務局</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經中央核定通過並實施增加市庫收入：記功</w:t>
            </w:r>
            <w:r>
              <w:rPr>
                <w:rFonts w:eastAsia="標楷體" w:ascii="標楷體" w:hAnsi="標楷體"/>
                <w:color w:val="000000" w:themeColor="text1"/>
                <w:sz w:val="24"/>
              </w:rPr>
              <w:t>1</w:t>
            </w:r>
            <w:r>
              <w:rPr>
                <w:rFonts w:ascii="標楷體" w:hAnsi="標楷體" w:eastAsia="標楷體"/>
                <w:color w:val="000000" w:themeColor="text1"/>
                <w:sz w:val="24"/>
              </w:rPr>
              <w:t>次</w:t>
            </w:r>
          </w:p>
        </w:tc>
      </w:tr>
      <w:tr>
        <w:trPr>
          <w:trHeight w:val="1156"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Times New Roman" w:hAnsi="Times New Roman"/>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4</w:t>
            </w:r>
            <w:r>
              <w:rPr>
                <w:rFonts w:ascii="標楷體" w:hAnsi="標楷體" w:eastAsia="標楷體"/>
                <w:color w:val="000000" w:themeColor="text1"/>
                <w:sz w:val="24"/>
              </w:rPr>
              <w:t>）依據地方稅法通則，研擬具體可行徵稅方案。</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rPr>
            </w:pPr>
            <w:r>
              <w:rPr>
                <w:rFonts w:ascii="標楷體" w:hAnsi="標楷體" w:eastAsia="標楷體"/>
                <w:color w:val="000000" w:themeColor="text1"/>
              </w:rPr>
              <w:t>財政稅務局</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各單位</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送縣議會審議：嘉獎</w:t>
            </w:r>
            <w:r>
              <w:rPr>
                <w:rFonts w:eastAsia="標楷體" w:ascii="標楷體" w:hAnsi="標楷體"/>
                <w:color w:val="000000" w:themeColor="text1"/>
                <w:sz w:val="24"/>
              </w:rPr>
              <w:t>1</w:t>
            </w:r>
            <w:r>
              <w:rPr>
                <w:rFonts w:ascii="標楷體" w:hAnsi="標楷體" w:eastAsia="標楷體"/>
                <w:color w:val="000000" w:themeColor="text1"/>
                <w:sz w:val="24"/>
              </w:rPr>
              <w:t>次</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經縣議會審議通過，並獲中央同意備查：記功</w:t>
            </w:r>
            <w:r>
              <w:rPr>
                <w:rFonts w:eastAsia="標楷體" w:ascii="標楷體" w:hAnsi="標楷體"/>
                <w:color w:val="000000" w:themeColor="text1"/>
                <w:sz w:val="24"/>
              </w:rPr>
              <w:t>1</w:t>
            </w:r>
            <w:r>
              <w:rPr>
                <w:rFonts w:ascii="標楷體" w:hAnsi="標楷體" w:eastAsia="標楷體"/>
                <w:color w:val="000000" w:themeColor="text1"/>
                <w:sz w:val="24"/>
              </w:rPr>
              <w:t>次</w:t>
            </w:r>
          </w:p>
        </w:tc>
      </w:tr>
      <w:tr>
        <w:trPr/>
        <w:tc>
          <w:tcPr>
            <w:tcW w:w="5108"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ind w:left="300" w:hanging="300"/>
              <w:rPr>
                <w:rFonts w:ascii="Times New Roman" w:hAnsi="Times New Roman"/>
                <w:sz w:val="24"/>
              </w:rPr>
            </w:pPr>
            <w:r>
              <w:rPr>
                <w:rFonts w:eastAsia="標楷體" w:ascii="標楷體" w:hAnsi="標楷體"/>
                <w:sz w:val="24"/>
              </w:rPr>
              <w:t>2.</w:t>
            </w:r>
            <w:r>
              <w:rPr>
                <w:rFonts w:ascii="標楷體" w:hAnsi="標楷體" w:eastAsia="標楷體"/>
                <w:sz w:val="24"/>
              </w:rPr>
              <w:t>落實徵收新種規費項目，合理調整現行收費基準：</w:t>
            </w:r>
          </w:p>
        </w:tc>
        <w:tc>
          <w:tcPr>
            <w:tcW w:w="1236"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c>
          <w:tcPr>
            <w:tcW w:w="2716" w:type="dxa"/>
            <w:gridSpan w:val="2"/>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1</w:t>
            </w:r>
            <w:r>
              <w:rPr>
                <w:rFonts w:ascii="標楷體" w:hAnsi="標楷體" w:eastAsia="標楷體"/>
                <w:color w:val="000000" w:themeColor="text1"/>
                <w:sz w:val="24"/>
              </w:rPr>
              <w:t>）擬定開徵新種規費項目並研訂相關收費辦</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 xml:space="preserve">     </w:t>
            </w:r>
            <w:r>
              <w:rPr>
                <w:rFonts w:ascii="標楷體" w:hAnsi="標楷體" w:eastAsia="標楷體"/>
                <w:color w:val="000000" w:themeColor="text1"/>
                <w:sz w:val="24"/>
              </w:rPr>
              <w:t>法（各業務單位應檢討業務項目及參考其</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 xml:space="preserve">     </w:t>
            </w:r>
            <w:r>
              <w:rPr>
                <w:rFonts w:ascii="標楷體" w:hAnsi="標楷體" w:eastAsia="標楷體"/>
                <w:color w:val="000000" w:themeColor="text1"/>
                <w:sz w:val="24"/>
              </w:rPr>
              <w:t>他縣市案例，研提開徵項目）。</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各單位</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各機關</w:t>
            </w:r>
          </w:p>
          <w:p>
            <w:pPr>
              <w:pStyle w:val="Normal"/>
              <w:widowControl w:val="false"/>
              <w:rPr>
                <w:rFonts w:ascii="Times New Roman" w:hAnsi="Times New Roman"/>
                <w:color w:val="000000" w:themeColor="text1"/>
              </w:rPr>
            </w:pPr>
            <w:r>
              <w:rPr>
                <w:rFonts w:ascii="標楷體" w:hAnsi="標楷體" w:eastAsia="標楷體"/>
                <w:color w:val="000000" w:themeColor="text1"/>
              </w:rPr>
              <w:t>財政稅務局</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增加收入</w:t>
            </w:r>
            <w:r>
              <w:rPr>
                <w:rFonts w:eastAsia="標楷體" w:ascii="標楷體" w:hAnsi="標楷體"/>
                <w:color w:val="000000" w:themeColor="text1"/>
                <w:sz w:val="24"/>
              </w:rPr>
              <w:t>99</w:t>
            </w:r>
            <w:r>
              <w:rPr>
                <w:rFonts w:ascii="標楷體" w:hAnsi="標楷體" w:eastAsia="標楷體"/>
                <w:color w:val="000000" w:themeColor="text1"/>
                <w:sz w:val="24"/>
              </w:rPr>
              <w:t>萬元以下：嘉獎</w:t>
            </w:r>
            <w:r>
              <w:rPr>
                <w:rFonts w:eastAsia="標楷體" w:ascii="標楷體" w:hAnsi="標楷體"/>
                <w:color w:val="000000" w:themeColor="text1"/>
                <w:sz w:val="24"/>
              </w:rPr>
              <w:t>1</w:t>
            </w:r>
            <w:r>
              <w:rPr>
                <w:rFonts w:ascii="標楷體" w:hAnsi="標楷體" w:eastAsia="標楷體"/>
                <w:color w:val="000000" w:themeColor="text1"/>
                <w:sz w:val="24"/>
              </w:rPr>
              <w:t>次、增加收入達</w:t>
            </w:r>
            <w:r>
              <w:rPr>
                <w:rFonts w:eastAsia="標楷體" w:ascii="標楷體" w:hAnsi="標楷體"/>
                <w:color w:val="000000" w:themeColor="text1"/>
                <w:sz w:val="24"/>
              </w:rPr>
              <w:t>100</w:t>
            </w:r>
            <w:r>
              <w:rPr>
                <w:rFonts w:ascii="標楷體" w:hAnsi="標楷體" w:eastAsia="標楷體"/>
                <w:color w:val="000000" w:themeColor="text1"/>
                <w:sz w:val="24"/>
              </w:rPr>
              <w:t>萬元未達</w:t>
            </w:r>
            <w:r>
              <w:rPr>
                <w:rFonts w:eastAsia="標楷體" w:ascii="標楷體" w:hAnsi="標楷體"/>
                <w:color w:val="000000" w:themeColor="text1"/>
                <w:sz w:val="24"/>
              </w:rPr>
              <w:t>200</w:t>
            </w:r>
            <w:r>
              <w:rPr>
                <w:rFonts w:ascii="標楷體" w:hAnsi="標楷體" w:eastAsia="標楷體"/>
                <w:color w:val="000000" w:themeColor="text1"/>
                <w:sz w:val="24"/>
              </w:rPr>
              <w:t>萬元：嘉獎</w:t>
            </w:r>
            <w:r>
              <w:rPr>
                <w:rFonts w:eastAsia="標楷體" w:ascii="標楷體" w:hAnsi="標楷體"/>
                <w:color w:val="000000" w:themeColor="text1"/>
                <w:sz w:val="24"/>
              </w:rPr>
              <w:t>2</w:t>
            </w:r>
            <w:r>
              <w:rPr>
                <w:rFonts w:ascii="標楷體" w:hAnsi="標楷體" w:eastAsia="標楷體"/>
                <w:color w:val="000000" w:themeColor="text1"/>
                <w:sz w:val="24"/>
              </w:rPr>
              <w:t>次、增加收入達</w:t>
            </w:r>
            <w:r>
              <w:rPr>
                <w:rFonts w:eastAsia="標楷體" w:ascii="標楷體" w:hAnsi="標楷體"/>
                <w:color w:val="000000" w:themeColor="text1"/>
                <w:sz w:val="24"/>
              </w:rPr>
              <w:t>200</w:t>
            </w:r>
            <w:r>
              <w:rPr>
                <w:rFonts w:ascii="標楷體" w:hAnsi="標楷體" w:eastAsia="標楷體"/>
                <w:color w:val="000000" w:themeColor="text1"/>
                <w:sz w:val="24"/>
              </w:rPr>
              <w:t>萬元以上：記功</w:t>
            </w:r>
            <w:r>
              <w:rPr>
                <w:rFonts w:eastAsia="標楷體" w:ascii="標楷體" w:hAnsi="標楷體"/>
                <w:color w:val="000000" w:themeColor="text1"/>
                <w:sz w:val="24"/>
              </w:rPr>
              <w:t>1</w:t>
            </w:r>
            <w:r>
              <w:rPr>
                <w:rFonts w:ascii="標楷體" w:hAnsi="標楷體" w:eastAsia="標楷體"/>
                <w:color w:val="000000" w:themeColor="text1"/>
                <w:sz w:val="24"/>
              </w:rPr>
              <w:t>次</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jc w:val="both"/>
              <w:rPr>
                <w:rFonts w:ascii="Times New Roman" w:hAnsi="Times New Roman"/>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2</w:t>
            </w:r>
            <w:r>
              <w:rPr>
                <w:rFonts w:ascii="標楷體" w:hAnsi="標楷體" w:eastAsia="標楷體"/>
                <w:color w:val="000000" w:themeColor="text1"/>
                <w:sz w:val="24"/>
              </w:rPr>
              <w:t>）調整各項規費收費基準及擴大收費範圍如</w:t>
            </w:r>
          </w:p>
          <w:p>
            <w:pPr>
              <w:pStyle w:val="Normal"/>
              <w:widowControl w:val="false"/>
              <w:ind w:left="620" w:hanging="0"/>
              <w:jc w:val="both"/>
              <w:rPr>
                <w:rFonts w:ascii="標楷體" w:hAnsi="標楷體" w:eastAsia="標楷體"/>
                <w:color w:val="000000" w:themeColor="text1"/>
                <w:sz w:val="24"/>
              </w:rPr>
            </w:pPr>
            <w:r>
              <w:rPr>
                <w:rFonts w:ascii="標楷體" w:hAnsi="標楷體" w:eastAsia="標楷體"/>
                <w:color w:val="000000" w:themeColor="text1"/>
                <w:sz w:val="24"/>
              </w:rPr>
              <w:t xml:space="preserve">：通盤檢討各項戶政規費、地政規費、建築規費、許可費、場地使用費、清潔規費及中央訂定收費基準者，應適時反映建議調整。 </w:t>
            </w:r>
            <w:r>
              <w:rPr>
                <w:rFonts w:eastAsia="標楷體" w:ascii="標楷體" w:hAnsi="標楷體"/>
                <w:color w:val="000000" w:themeColor="text1"/>
                <w:sz w:val="24"/>
              </w:rPr>
              <w:t>(</w:t>
            </w:r>
            <w:r>
              <w:rPr>
                <w:rFonts w:ascii="標楷體" w:hAnsi="標楷體" w:eastAsia="標楷體"/>
                <w:color w:val="000000" w:themeColor="text1"/>
                <w:sz w:val="24"/>
              </w:rPr>
              <w:t>依規費法第</w:t>
            </w:r>
            <w:r>
              <w:rPr>
                <w:rFonts w:eastAsia="標楷體" w:ascii="標楷體" w:hAnsi="標楷體"/>
                <w:color w:val="000000" w:themeColor="text1"/>
                <w:sz w:val="24"/>
              </w:rPr>
              <w:t>11</w:t>
            </w:r>
            <w:r>
              <w:rPr>
                <w:rFonts w:ascii="標楷體" w:hAnsi="標楷體" w:eastAsia="標楷體"/>
                <w:color w:val="000000" w:themeColor="text1"/>
                <w:sz w:val="24"/>
              </w:rPr>
              <w:t>條規定每</w:t>
            </w:r>
            <w:r>
              <w:rPr>
                <w:rFonts w:eastAsia="標楷體" w:ascii="標楷體" w:hAnsi="標楷體"/>
                <w:color w:val="000000" w:themeColor="text1"/>
                <w:sz w:val="24"/>
              </w:rPr>
              <w:t>3</w:t>
            </w:r>
            <w:r>
              <w:rPr>
                <w:rFonts w:ascii="標楷體" w:hAnsi="標楷體" w:eastAsia="標楷體"/>
                <w:color w:val="000000" w:themeColor="text1"/>
                <w:sz w:val="24"/>
              </w:rPr>
              <w:t>年定期檢討</w:t>
            </w:r>
            <w:r>
              <w:rPr>
                <w:rFonts w:eastAsia="標楷體" w:ascii="標楷體" w:hAnsi="標楷體"/>
                <w:color w:val="000000" w:themeColor="text1"/>
                <w:sz w:val="24"/>
              </w:rPr>
              <w:t>)</w:t>
            </w:r>
            <w:r>
              <w:rPr>
                <w:rFonts w:ascii="標楷體" w:hAnsi="標楷體" w:eastAsia="標楷體"/>
                <w:color w:val="000000" w:themeColor="text1"/>
                <w:sz w:val="24"/>
              </w:rPr>
              <w:t>。</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各單位</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各機關</w:t>
            </w:r>
          </w:p>
          <w:p>
            <w:pPr>
              <w:pStyle w:val="Normal"/>
              <w:widowControl w:val="false"/>
              <w:rPr>
                <w:rFonts w:ascii="Times New Roman" w:hAnsi="Times New Roman"/>
                <w:color w:val="000000" w:themeColor="text1"/>
              </w:rPr>
            </w:pPr>
            <w:r>
              <w:rPr>
                <w:rFonts w:ascii="標楷體" w:hAnsi="標楷體" w:eastAsia="標楷體"/>
                <w:color w:val="000000" w:themeColor="text1"/>
              </w:rPr>
              <w:t>財政稅務局</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收費基準（每一規費種類為基準）：增加率達</w:t>
            </w:r>
            <w:r>
              <w:rPr>
                <w:rFonts w:eastAsia="標楷體" w:ascii="標楷體" w:hAnsi="標楷體"/>
                <w:color w:val="000000" w:themeColor="text1"/>
                <w:sz w:val="24"/>
              </w:rPr>
              <w:t>5%</w:t>
            </w:r>
            <w:r>
              <w:rPr>
                <w:rFonts w:ascii="標楷體" w:hAnsi="標楷體" w:eastAsia="標楷體"/>
                <w:color w:val="000000" w:themeColor="text1"/>
                <w:sz w:val="24"/>
              </w:rPr>
              <w:t>未達</w:t>
            </w:r>
            <w:r>
              <w:rPr>
                <w:rFonts w:eastAsia="標楷體" w:ascii="標楷體" w:hAnsi="標楷體"/>
                <w:color w:val="000000" w:themeColor="text1"/>
                <w:sz w:val="24"/>
              </w:rPr>
              <w:t>10%</w:t>
            </w:r>
            <w:r>
              <w:rPr>
                <w:rFonts w:ascii="標楷體" w:hAnsi="標楷體" w:eastAsia="標楷體"/>
                <w:color w:val="000000" w:themeColor="text1"/>
                <w:sz w:val="24"/>
              </w:rPr>
              <w:t>：嘉獎一次、增加率達</w:t>
            </w:r>
            <w:r>
              <w:rPr>
                <w:rFonts w:eastAsia="標楷體" w:ascii="標楷體" w:hAnsi="標楷體"/>
                <w:color w:val="000000" w:themeColor="text1"/>
                <w:sz w:val="24"/>
              </w:rPr>
              <w:t>10%</w:t>
            </w:r>
            <w:r>
              <w:rPr>
                <w:rFonts w:ascii="標楷體" w:hAnsi="標楷體" w:eastAsia="標楷體"/>
                <w:color w:val="000000" w:themeColor="text1"/>
                <w:sz w:val="24"/>
              </w:rPr>
              <w:t>未達</w:t>
            </w:r>
            <w:r>
              <w:rPr>
                <w:rFonts w:eastAsia="標楷體" w:ascii="標楷體" w:hAnsi="標楷體"/>
                <w:color w:val="000000" w:themeColor="text1"/>
                <w:sz w:val="24"/>
              </w:rPr>
              <w:t>20%</w:t>
            </w:r>
            <w:r>
              <w:rPr>
                <w:rFonts w:ascii="標楷體" w:hAnsi="標楷體" w:eastAsia="標楷體"/>
                <w:color w:val="000000" w:themeColor="text1"/>
                <w:sz w:val="24"/>
              </w:rPr>
              <w:t>：嘉獎二次、增加率達</w:t>
            </w:r>
            <w:r>
              <w:rPr>
                <w:rFonts w:eastAsia="標楷體" w:ascii="標楷體" w:hAnsi="標楷體"/>
                <w:color w:val="000000" w:themeColor="text1"/>
                <w:sz w:val="24"/>
              </w:rPr>
              <w:t>20%</w:t>
            </w:r>
            <w:r>
              <w:rPr>
                <w:rFonts w:ascii="標楷體" w:hAnsi="標楷體" w:eastAsia="標楷體"/>
                <w:color w:val="000000" w:themeColor="text1"/>
                <w:sz w:val="24"/>
              </w:rPr>
              <w:t>以上：記功一次。</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另以當年度決算金額增加比率勾稽核算。</w:t>
            </w:r>
          </w:p>
        </w:tc>
      </w:tr>
      <w:tr>
        <w:trPr/>
        <w:tc>
          <w:tcPr>
            <w:tcW w:w="5108"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eastAsia="標楷體" w:ascii="標楷體" w:hAnsi="標楷體"/>
                <w:sz w:val="24"/>
              </w:rPr>
              <w:t>3.</w:t>
            </w:r>
            <w:r>
              <w:rPr>
                <w:rFonts w:ascii="標楷體" w:hAnsi="標楷體" w:eastAsia="標楷體"/>
                <w:sz w:val="24"/>
              </w:rPr>
              <w:t>積極清理欠稅、欠費：</w:t>
            </w:r>
          </w:p>
        </w:tc>
        <w:tc>
          <w:tcPr>
            <w:tcW w:w="1236"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c>
          <w:tcPr>
            <w:tcW w:w="2716" w:type="dxa"/>
            <w:gridSpan w:val="2"/>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3"/>
              </w:numPr>
              <w:rPr>
                <w:rFonts w:ascii="標楷體" w:hAnsi="標楷體" w:eastAsia="標楷體"/>
                <w:color w:val="000000" w:themeColor="text1"/>
                <w:sz w:val="24"/>
              </w:rPr>
            </w:pPr>
            <w:r>
              <w:rPr>
                <w:rFonts w:ascii="標楷體" w:hAnsi="標楷體" w:eastAsia="標楷體"/>
                <w:color w:val="000000" w:themeColor="text1"/>
                <w:sz w:val="24"/>
              </w:rPr>
              <w:t>減少稅捐、行政罰鍰繳款書、處分書案件未送達率。（未送達率為未送達案件數占當年度案件數比率）</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各機關</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各單位</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視送達情形：</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專案提報獎懲</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sz w:val="24"/>
              </w:rPr>
            </w:pPr>
            <w:r>
              <w:rPr>
                <w:rFonts w:ascii="標楷體" w:hAnsi="標楷體" w:eastAsia="標楷體"/>
                <w:sz w:val="24"/>
              </w:rPr>
              <w:t>（</w:t>
            </w:r>
            <w:r>
              <w:rPr>
                <w:rFonts w:eastAsia="標楷體" w:ascii="標楷體" w:hAnsi="標楷體"/>
                <w:sz w:val="24"/>
              </w:rPr>
              <w:t>2</w:t>
            </w:r>
            <w:r>
              <w:rPr>
                <w:rFonts w:ascii="標楷體" w:hAnsi="標楷體" w:eastAsia="標楷體"/>
                <w:sz w:val="24"/>
              </w:rPr>
              <w:t>）提昇以前年度欠稅、罰鍰清理之收繳率，</w:t>
            </w:r>
          </w:p>
          <w:p>
            <w:pPr>
              <w:pStyle w:val="Normal"/>
              <w:widowControl w:val="false"/>
              <w:ind w:left="600" w:hanging="100"/>
              <w:rPr>
                <w:rFonts w:ascii="Times New Roman" w:hAnsi="Times New Roman"/>
                <w:sz w:val="24"/>
              </w:rPr>
            </w:pPr>
            <w:r>
              <w:rPr>
                <w:rFonts w:ascii="標楷體" w:hAnsi="標楷體" w:eastAsia="標楷體"/>
                <w:sz w:val="24"/>
              </w:rPr>
              <w:t>（收繳率為以前年度於本年度收繳金額占應收未收金額比率）。</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eastAsia="標楷體"/>
                <w:sz w:val="24"/>
              </w:rPr>
              <w:t>各機關</w:t>
            </w:r>
          </w:p>
          <w:p>
            <w:pPr>
              <w:pStyle w:val="Normal"/>
              <w:widowControl w:val="false"/>
              <w:rPr>
                <w:rFonts w:ascii="Times New Roman" w:hAnsi="Times New Roman"/>
                <w:sz w:val="24"/>
              </w:rPr>
            </w:pPr>
            <w:r>
              <w:rPr>
                <w:rFonts w:ascii="標楷體" w:hAnsi="標楷體" w:eastAsia="標楷體"/>
                <w:sz w:val="24"/>
              </w:rPr>
              <w:t>各單位</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sz w:val="24"/>
              </w:rPr>
            </w:pPr>
            <w:r>
              <w:rPr>
                <w:rFonts w:ascii="標楷體" w:hAnsi="標楷體" w:eastAsia="標楷體"/>
                <w:sz w:val="24"/>
              </w:rPr>
              <w:t>視清理情形：</w:t>
            </w:r>
          </w:p>
          <w:p>
            <w:pPr>
              <w:pStyle w:val="Normal"/>
              <w:widowControl w:val="false"/>
              <w:rPr>
                <w:rFonts w:ascii="Times New Roman" w:hAnsi="Times New Roman"/>
                <w:sz w:val="24"/>
              </w:rPr>
            </w:pPr>
            <w:r>
              <w:rPr>
                <w:rFonts w:ascii="標楷體" w:hAnsi="標楷體" w:eastAsia="標楷體"/>
                <w:sz w:val="24"/>
              </w:rPr>
              <w:t>專案提報獎懲</w:t>
            </w:r>
          </w:p>
        </w:tc>
      </w:tr>
      <w:tr>
        <w:trPr/>
        <w:tc>
          <w:tcPr>
            <w:tcW w:w="5108"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eastAsia="標楷體" w:ascii="標楷體" w:hAnsi="標楷體"/>
                <w:sz w:val="24"/>
              </w:rPr>
              <w:t>4.</w:t>
            </w:r>
            <w:r>
              <w:rPr>
                <w:rFonts w:ascii="標楷體" w:hAnsi="標楷體" w:eastAsia="標楷體"/>
                <w:sz w:val="24"/>
              </w:rPr>
              <w:t>加強公有土地管理運用：</w:t>
            </w:r>
          </w:p>
        </w:tc>
        <w:tc>
          <w:tcPr>
            <w:tcW w:w="1236"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c>
          <w:tcPr>
            <w:tcW w:w="2716" w:type="dxa"/>
            <w:gridSpan w:val="2"/>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r>
      <w:tr>
        <w:trPr>
          <w:trHeight w:val="309"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numPr>
                <w:ilvl w:val="0"/>
                <w:numId w:val="1"/>
              </w:numPr>
              <w:rPr>
                <w:rFonts w:ascii="標楷體" w:hAnsi="標楷體" w:eastAsia="標楷體"/>
                <w:sz w:val="24"/>
              </w:rPr>
            </w:pPr>
            <w:r>
              <w:rPr>
                <w:rFonts w:ascii="標楷體" w:hAnsi="標楷體" w:eastAsia="標楷體"/>
                <w:sz w:val="24"/>
              </w:rPr>
              <w:t>積極清理閒置非公用土地，辦理出售或出租，加強標租標售閒置公有空地及建物，</w:t>
            </w:r>
          </w:p>
          <w:p>
            <w:pPr>
              <w:pStyle w:val="Normal"/>
              <w:widowControl w:val="false"/>
              <w:ind w:left="720" w:hanging="0"/>
              <w:rPr>
                <w:rFonts w:ascii="標楷體" w:hAnsi="標楷體" w:eastAsia="標楷體"/>
                <w:sz w:val="24"/>
              </w:rPr>
            </w:pPr>
            <w:r>
              <w:rPr>
                <w:rFonts w:ascii="標楷體" w:hAnsi="標楷體" w:eastAsia="標楷體"/>
                <w:sz w:val="24"/>
              </w:rPr>
              <w:t>顯著增加縣庫收入（如市場大樓、未開闢之公設地、已變更非公用之辦公廳舍及經管閒置宿舍等公有設施）。</w:t>
            </w:r>
          </w:p>
          <w:p>
            <w:pPr>
              <w:pStyle w:val="Normal"/>
              <w:widowControl w:val="false"/>
              <w:ind w:left="720" w:hanging="0"/>
              <w:rPr>
                <w:rFonts w:ascii="標楷體" w:hAnsi="標楷體" w:eastAsia="標楷體"/>
                <w:sz w:val="24"/>
              </w:rPr>
            </w:pPr>
            <w:r>
              <w:rPr>
                <w:rFonts w:eastAsia="標楷體" w:ascii="標楷體" w:hAnsi="標楷體"/>
                <w:sz w:val="24"/>
              </w:rPr>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rPr>
            </w:pPr>
            <w:r>
              <w:rPr>
                <w:rFonts w:ascii="標楷體" w:hAnsi="標楷體" w:eastAsia="標楷體"/>
              </w:rPr>
              <w:t>財政稅務局</w:t>
            </w:r>
          </w:p>
          <w:p>
            <w:pPr>
              <w:pStyle w:val="Normal"/>
              <w:widowControl w:val="false"/>
              <w:rPr>
                <w:rFonts w:ascii="Times New Roman" w:hAnsi="Times New Roman"/>
                <w:sz w:val="24"/>
              </w:rPr>
            </w:pPr>
            <w:r>
              <w:rPr>
                <w:rFonts w:ascii="Times New Roman" w:hAnsi="Times New Roman"/>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sz w:val="24"/>
              </w:rPr>
            </w:pPr>
            <w:r>
              <w:rPr>
                <w:rFonts w:ascii="標楷體" w:hAnsi="標楷體" w:eastAsia="標楷體"/>
                <w:sz w:val="24"/>
              </w:rPr>
              <w:t>視增加收入情形：</w:t>
            </w:r>
          </w:p>
          <w:p>
            <w:pPr>
              <w:pStyle w:val="Normal"/>
              <w:widowControl w:val="false"/>
              <w:rPr>
                <w:rFonts w:ascii="標楷體" w:hAnsi="標楷體" w:eastAsia="標楷體"/>
                <w:sz w:val="24"/>
              </w:rPr>
            </w:pPr>
            <w:r>
              <w:rPr>
                <w:rFonts w:ascii="標楷體" w:hAnsi="標楷體" w:eastAsia="標楷體"/>
                <w:sz w:val="24"/>
              </w:rPr>
              <w:t>專案提報獎懲</w:t>
            </w:r>
          </w:p>
        </w:tc>
      </w:tr>
      <w:tr>
        <w:trPr>
          <w:trHeight w:val="308"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eastAsia="標楷體"/>
                <w:sz w:val="24"/>
              </w:rPr>
              <w:t xml:space="preserve"> </w:t>
            </w:r>
            <w:r>
              <w:rPr>
                <w:rFonts w:eastAsia="標楷體" w:ascii="標楷體" w:hAnsi="標楷體"/>
                <w:sz w:val="24"/>
              </w:rPr>
              <w:t>(2)</w:t>
            </w:r>
            <w:r>
              <w:rPr>
                <w:rFonts w:ascii="標楷體" w:hAnsi="標楷體" w:eastAsia="標楷體"/>
                <w:sz w:val="24"/>
              </w:rPr>
              <w:t>合理調整公有土地租金，顯著增加縣庫收入。</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rPr>
            </w:pPr>
            <w:r>
              <w:rPr>
                <w:rFonts w:ascii="標楷體" w:hAnsi="標楷體" w:eastAsia="標楷體"/>
              </w:rPr>
              <w:t>財政稅務局</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sz w:val="24"/>
              </w:rPr>
            </w:pPr>
            <w:r>
              <w:rPr>
                <w:rFonts w:ascii="標楷體" w:hAnsi="標楷體" w:eastAsia="標楷體"/>
                <w:sz w:val="24"/>
              </w:rPr>
              <w:t>視增加收入情形：</w:t>
            </w:r>
          </w:p>
          <w:p>
            <w:pPr>
              <w:pStyle w:val="Normal"/>
              <w:widowControl w:val="false"/>
              <w:rPr>
                <w:rFonts w:ascii="標楷體" w:hAnsi="標楷體" w:eastAsia="標楷體"/>
                <w:sz w:val="24"/>
              </w:rPr>
            </w:pPr>
            <w:r>
              <w:rPr>
                <w:rFonts w:ascii="標楷體" w:hAnsi="標楷體" w:eastAsia="標楷體"/>
                <w:sz w:val="24"/>
              </w:rPr>
              <w:t>專案提報獎懲</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eastAsia="標楷體"/>
                <w:sz w:val="24"/>
              </w:rPr>
              <w:t>（</w:t>
            </w:r>
            <w:r>
              <w:rPr>
                <w:rFonts w:eastAsia="標楷體" w:ascii="標楷體" w:hAnsi="標楷體"/>
                <w:sz w:val="24"/>
              </w:rPr>
              <w:t>3</w:t>
            </w:r>
            <w:r>
              <w:rPr>
                <w:rFonts w:ascii="標楷體" w:hAnsi="標楷體" w:eastAsia="標楷體"/>
                <w:sz w:val="24"/>
              </w:rPr>
              <w:t xml:space="preserve">）積極處理被占用土地，以健全公地管理，成   </w:t>
            </w:r>
          </w:p>
          <w:p>
            <w:pPr>
              <w:pStyle w:val="Normal"/>
              <w:widowControl w:val="false"/>
              <w:rPr>
                <w:rFonts w:ascii="標楷體" w:hAnsi="標楷體" w:eastAsia="標楷體"/>
                <w:sz w:val="24"/>
              </w:rPr>
            </w:pPr>
            <w:r>
              <w:rPr>
                <w:rFonts w:ascii="標楷體" w:hAnsi="標楷體" w:eastAsia="標楷體"/>
                <w:sz w:val="24"/>
              </w:rPr>
              <w:t xml:space="preserve">     </w:t>
            </w:r>
            <w:r>
              <w:rPr>
                <w:rFonts w:ascii="標楷體" w:hAnsi="標楷體" w:eastAsia="標楷體"/>
                <w:sz w:val="24"/>
              </w:rPr>
              <w:t>效卓越者。</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eastAsia="標楷體"/>
                <w:sz w:val="24"/>
              </w:rPr>
              <w:t>各單位</w:t>
            </w:r>
          </w:p>
          <w:p>
            <w:pPr>
              <w:pStyle w:val="Normal"/>
              <w:widowControl w:val="false"/>
              <w:rPr>
                <w:rFonts w:ascii="Times New Roman" w:hAnsi="Times New Roman"/>
                <w:sz w:val="24"/>
              </w:rPr>
            </w:pPr>
            <w:r>
              <w:rPr>
                <w:rFonts w:ascii="Times New Roman" w:hAnsi="Times New Roman"/>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sz w:val="24"/>
              </w:rPr>
            </w:pPr>
            <w:r>
              <w:rPr>
                <w:rFonts w:ascii="標楷體" w:hAnsi="標楷體" w:eastAsia="標楷體"/>
                <w:sz w:val="24"/>
              </w:rPr>
              <w:t>視清理及收回情形：</w:t>
            </w:r>
          </w:p>
          <w:p>
            <w:pPr>
              <w:pStyle w:val="Normal"/>
              <w:widowControl w:val="false"/>
              <w:rPr>
                <w:rFonts w:ascii="Times New Roman" w:hAnsi="Times New Roman"/>
                <w:sz w:val="24"/>
              </w:rPr>
            </w:pPr>
            <w:r>
              <w:rPr>
                <w:rFonts w:ascii="標楷體" w:hAnsi="標楷體" w:eastAsia="標楷體"/>
                <w:sz w:val="24"/>
              </w:rPr>
              <w:t>專案提報獎懲</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Times New Roman" w:hAnsi="Times New Roman"/>
                <w:sz w:val="24"/>
              </w:rPr>
            </w:pPr>
            <w:r>
              <w:rPr>
                <w:rFonts w:ascii="標楷體" w:hAnsi="標楷體" w:eastAsia="標楷體"/>
                <w:sz w:val="24"/>
              </w:rPr>
              <w:t>（</w:t>
            </w:r>
            <w:r>
              <w:rPr>
                <w:rFonts w:eastAsia="標楷體" w:ascii="標楷體" w:hAnsi="標楷體"/>
                <w:sz w:val="24"/>
              </w:rPr>
              <w:t>4</w:t>
            </w:r>
            <w:r>
              <w:rPr>
                <w:rFonts w:ascii="標楷體" w:hAnsi="標楷體" w:eastAsia="標楷體"/>
                <w:sz w:val="24"/>
              </w:rPr>
              <w:t>）積極清理欠租及使用補償金情形，以提高徵起率。</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rPr>
            </w:pPr>
            <w:r>
              <w:rPr>
                <w:rFonts w:ascii="標楷體" w:hAnsi="標楷體" w:eastAsia="標楷體"/>
              </w:rPr>
              <w:t>財政稅務局</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sz w:val="24"/>
              </w:rPr>
            </w:pPr>
            <w:r>
              <w:rPr>
                <w:rFonts w:ascii="標楷體" w:hAnsi="標楷體" w:eastAsia="標楷體"/>
                <w:sz w:val="24"/>
              </w:rPr>
              <w:t>視清理情形：</w:t>
            </w:r>
          </w:p>
          <w:p>
            <w:pPr>
              <w:pStyle w:val="Normal"/>
              <w:widowControl w:val="false"/>
              <w:rPr>
                <w:rFonts w:ascii="標楷體" w:hAnsi="標楷體" w:eastAsia="標楷體"/>
                <w:sz w:val="24"/>
              </w:rPr>
            </w:pPr>
            <w:r>
              <w:rPr>
                <w:rFonts w:ascii="標楷體" w:hAnsi="標楷體" w:eastAsia="標楷體"/>
                <w:sz w:val="24"/>
              </w:rPr>
              <w:t>專案提報獎懲</w:t>
            </w:r>
          </w:p>
        </w:tc>
      </w:tr>
      <w:tr>
        <w:trPr/>
        <w:tc>
          <w:tcPr>
            <w:tcW w:w="5108"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eastAsia="標楷體" w:ascii="標楷體" w:hAnsi="標楷體"/>
                <w:sz w:val="24"/>
              </w:rPr>
              <w:t>5.</w:t>
            </w:r>
            <w:r>
              <w:rPr>
                <w:rFonts w:ascii="標楷體" w:hAnsi="標楷體" w:eastAsia="標楷體"/>
                <w:sz w:val="24"/>
              </w:rPr>
              <w:t>其他開源措施：</w:t>
            </w:r>
          </w:p>
        </w:tc>
        <w:tc>
          <w:tcPr>
            <w:tcW w:w="1236" w:type="dxa"/>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c>
          <w:tcPr>
            <w:tcW w:w="2716" w:type="dxa"/>
            <w:gridSpan w:val="2"/>
            <w:tcBorders>
              <w:top w:val="single" w:sz="6" w:space="0" w:color="000000"/>
              <w:left w:val="single" w:sz="6" w:space="0" w:color="000000"/>
              <w:bottom w:val="single" w:sz="6" w:space="0" w:color="000000"/>
              <w:right w:val="single" w:sz="6" w:space="0" w:color="000000"/>
            </w:tcBorders>
            <w:shd w:color="auto" w:fill="EAF1DD" w:themeFill="accent3" w:themeFillTint="33" w:val="clear"/>
          </w:tcPr>
          <w:p>
            <w:pPr>
              <w:pStyle w:val="Normal"/>
              <w:widowControl w:val="false"/>
              <w:rPr>
                <w:rFonts w:ascii="Times New Roman" w:hAnsi="Times New Roman"/>
                <w:sz w:val="24"/>
              </w:rPr>
            </w:pPr>
            <w:r>
              <w:rPr>
                <w:rFonts w:ascii="Times New Roman" w:hAnsi="Times New Roman"/>
                <w:sz w:val="24"/>
              </w:rPr>
            </w:r>
          </w:p>
        </w:tc>
      </w:tr>
      <w:tr>
        <w:trPr>
          <w:trHeight w:val="520"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2"/>
              </w:numPr>
              <w:rPr>
                <w:rFonts w:ascii="標楷體" w:hAnsi="標楷體" w:eastAsia="標楷體"/>
                <w:color w:val="000000" w:themeColor="text1"/>
                <w:sz w:val="24"/>
              </w:rPr>
            </w:pPr>
            <w:r>
              <w:rPr>
                <w:rFonts w:ascii="標楷體" w:hAnsi="標楷體" w:eastAsia="標楷體"/>
                <w:color w:val="000000" w:themeColor="text1"/>
                <w:sz w:val="24"/>
              </w:rPr>
              <w:t xml:space="preserve"> </w:t>
            </w:r>
            <w:r>
              <w:rPr>
                <w:rFonts w:ascii="標楷體" w:hAnsi="標楷體" w:eastAsia="標楷體"/>
                <w:color w:val="000000" w:themeColor="text1"/>
                <w:sz w:val="24"/>
              </w:rPr>
              <w:t>積極辦理招商，涵養稅源。</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各單位</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視投資家數及投資情形</w:t>
            </w:r>
            <w:r>
              <w:rPr>
                <w:rFonts w:eastAsia="標楷體" w:ascii="標楷體" w:hAnsi="標楷體"/>
                <w:color w:val="000000" w:themeColor="text1"/>
                <w:sz w:val="24"/>
              </w:rPr>
              <w:t>:</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專案提報敘獎</w:t>
            </w:r>
          </w:p>
        </w:tc>
      </w:tr>
      <w:tr>
        <w:trPr>
          <w:trHeight w:val="519"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標楷體" w:hAnsi="標楷體" w:eastAsia="標楷體"/>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2</w:t>
            </w:r>
            <w:r>
              <w:rPr>
                <w:rFonts w:ascii="標楷體" w:hAnsi="標楷體" w:eastAsia="標楷體"/>
                <w:color w:val="000000" w:themeColor="text1"/>
                <w:sz w:val="24"/>
              </w:rPr>
              <w:t>）各專戶閒置資金之清理。（依決算法第</w:t>
            </w:r>
            <w:r>
              <w:rPr>
                <w:rFonts w:eastAsia="標楷體" w:ascii="標楷體" w:hAnsi="標楷體"/>
                <w:color w:val="000000" w:themeColor="text1"/>
                <w:sz w:val="24"/>
              </w:rPr>
              <w:t>17</w:t>
            </w:r>
            <w:r>
              <w:rPr>
                <w:rFonts w:ascii="標楷體" w:hAnsi="標楷體" w:eastAsia="標楷體"/>
                <w:color w:val="000000" w:themeColor="text1"/>
                <w:sz w:val="24"/>
              </w:rPr>
              <w:t>條規定）</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各單位</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視辦理情形：</w:t>
            </w:r>
          </w:p>
          <w:p>
            <w:pPr>
              <w:pStyle w:val="Normal"/>
              <w:widowControl w:val="false"/>
              <w:rPr>
                <w:rFonts w:ascii="標楷體" w:hAnsi="標楷體" w:eastAsia="標楷體"/>
                <w:color w:val="000000" w:themeColor="text1"/>
                <w:sz w:val="24"/>
              </w:rPr>
            </w:pPr>
            <w:r>
              <w:rPr>
                <w:rFonts w:ascii="標楷體" w:hAnsi="標楷體" w:eastAsia="標楷體"/>
                <w:color w:val="000000" w:themeColor="text1"/>
                <w:sz w:val="24"/>
              </w:rPr>
              <w:t>專案提報獎懲</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619" w:hanging="619"/>
              <w:rPr>
                <w:rFonts w:ascii="標楷體" w:hAnsi="標楷體" w:eastAsia="標楷體"/>
                <w:color w:val="000000" w:themeColor="text1"/>
                <w:sz w:val="24"/>
              </w:rPr>
            </w:pPr>
            <w:r>
              <w:rPr>
                <w:rFonts w:ascii="標楷體" w:hAnsi="標楷體" w:eastAsia="標楷體"/>
                <w:color w:val="000000" w:themeColor="text1"/>
                <w:sz w:val="24"/>
              </w:rPr>
              <w:t>（</w:t>
            </w:r>
            <w:r>
              <w:rPr>
                <w:rFonts w:eastAsia="標楷體" w:ascii="標楷體" w:hAnsi="標楷體"/>
                <w:color w:val="000000" w:themeColor="text1"/>
                <w:sz w:val="24"/>
              </w:rPr>
              <w:t>3</w:t>
            </w:r>
            <w:r>
              <w:rPr>
                <w:rFonts w:ascii="標楷體" w:hAnsi="標楷體" w:eastAsia="標楷體"/>
                <w:color w:val="000000" w:themeColor="text1"/>
                <w:sz w:val="24"/>
              </w:rPr>
              <w:t xml:space="preserve">）自訂其他開源項目。 </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 xml:space="preserve">各單位  </w:t>
            </w:r>
          </w:p>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Times New Roman" w:hAnsi="Times New Roman"/>
                <w:color w:val="000000" w:themeColor="text1"/>
                <w:sz w:val="24"/>
              </w:rPr>
            </w:pPr>
            <w:r>
              <w:rPr>
                <w:rFonts w:ascii="標楷體" w:hAnsi="標楷體" w:eastAsia="標楷體"/>
                <w:color w:val="000000" w:themeColor="text1"/>
                <w:sz w:val="24"/>
              </w:rPr>
              <w:t>增加收入</w:t>
            </w:r>
            <w:r>
              <w:rPr>
                <w:rFonts w:eastAsia="標楷體" w:ascii="標楷體" w:hAnsi="標楷體"/>
                <w:color w:val="000000" w:themeColor="text1"/>
                <w:sz w:val="24"/>
              </w:rPr>
              <w:t>99</w:t>
            </w:r>
            <w:r>
              <w:rPr>
                <w:rFonts w:ascii="標楷體" w:hAnsi="標楷體" w:eastAsia="標楷體"/>
                <w:color w:val="000000" w:themeColor="text1"/>
                <w:sz w:val="24"/>
              </w:rPr>
              <w:t>萬元以下：嘉獎</w:t>
            </w:r>
            <w:r>
              <w:rPr>
                <w:rFonts w:eastAsia="標楷體" w:ascii="標楷體" w:hAnsi="標楷體"/>
                <w:color w:val="000000" w:themeColor="text1"/>
                <w:sz w:val="24"/>
              </w:rPr>
              <w:t>1</w:t>
            </w:r>
            <w:r>
              <w:rPr>
                <w:rFonts w:ascii="標楷體" w:hAnsi="標楷體" w:eastAsia="標楷體"/>
                <w:color w:val="000000" w:themeColor="text1"/>
                <w:sz w:val="24"/>
              </w:rPr>
              <w:t>次、增加收入達</w:t>
            </w:r>
            <w:r>
              <w:rPr>
                <w:rFonts w:eastAsia="標楷體" w:ascii="標楷體" w:hAnsi="標楷體"/>
                <w:color w:val="000000" w:themeColor="text1"/>
                <w:sz w:val="24"/>
              </w:rPr>
              <w:t>100</w:t>
            </w:r>
            <w:r>
              <w:rPr>
                <w:rFonts w:ascii="標楷體" w:hAnsi="標楷體" w:eastAsia="標楷體"/>
                <w:color w:val="000000" w:themeColor="text1"/>
                <w:sz w:val="24"/>
              </w:rPr>
              <w:t>萬元未達</w:t>
            </w:r>
            <w:r>
              <w:rPr>
                <w:rFonts w:eastAsia="標楷體" w:ascii="標楷體" w:hAnsi="標楷體"/>
                <w:color w:val="000000" w:themeColor="text1"/>
                <w:sz w:val="24"/>
              </w:rPr>
              <w:t>200</w:t>
            </w:r>
            <w:r>
              <w:rPr>
                <w:rFonts w:ascii="標楷體" w:hAnsi="標楷體" w:eastAsia="標楷體"/>
                <w:color w:val="000000" w:themeColor="text1"/>
                <w:sz w:val="24"/>
              </w:rPr>
              <w:t>萬元：嘉獎</w:t>
            </w:r>
            <w:r>
              <w:rPr>
                <w:rFonts w:eastAsia="標楷體" w:ascii="標楷體" w:hAnsi="標楷體"/>
                <w:color w:val="000000" w:themeColor="text1"/>
                <w:sz w:val="24"/>
              </w:rPr>
              <w:t>2</w:t>
            </w:r>
            <w:r>
              <w:rPr>
                <w:rFonts w:ascii="標楷體" w:hAnsi="標楷體" w:eastAsia="標楷體"/>
                <w:color w:val="000000" w:themeColor="text1"/>
                <w:sz w:val="24"/>
              </w:rPr>
              <w:t>次、增加收入達</w:t>
            </w:r>
            <w:r>
              <w:rPr>
                <w:rFonts w:eastAsia="標楷體" w:ascii="標楷體" w:hAnsi="標楷體"/>
                <w:color w:val="000000" w:themeColor="text1"/>
                <w:sz w:val="24"/>
              </w:rPr>
              <w:t>200</w:t>
            </w:r>
            <w:r>
              <w:rPr>
                <w:rFonts w:ascii="標楷體" w:hAnsi="標楷體" w:eastAsia="標楷體"/>
                <w:color w:val="000000" w:themeColor="text1"/>
                <w:sz w:val="24"/>
              </w:rPr>
              <w:t>萬元以上：記功</w:t>
            </w:r>
            <w:r>
              <w:rPr>
                <w:rFonts w:eastAsia="標楷體" w:ascii="標楷體" w:hAnsi="標楷體"/>
                <w:color w:val="000000" w:themeColor="text1"/>
                <w:sz w:val="24"/>
              </w:rPr>
              <w:t>1</w:t>
            </w:r>
            <w:r>
              <w:rPr>
                <w:rFonts w:ascii="標楷體" w:hAnsi="標楷體" w:eastAsia="標楷體"/>
                <w:color w:val="000000" w:themeColor="text1"/>
                <w:sz w:val="24"/>
              </w:rPr>
              <w:t>次</w:t>
            </w:r>
          </w:p>
        </w:tc>
      </w:tr>
      <w:tr>
        <w:trPr/>
        <w:tc>
          <w:tcPr>
            <w:tcW w:w="5108" w:type="dxa"/>
            <w:tcBorders>
              <w:top w:val="single" w:sz="6" w:space="0" w:color="000000"/>
              <w:left w:val="single" w:sz="6" w:space="0" w:color="000000"/>
              <w:bottom w:val="single" w:sz="6" w:space="0" w:color="000000"/>
              <w:right w:val="single" w:sz="6" w:space="0" w:color="000000"/>
            </w:tcBorders>
            <w:shd w:color="auto" w:fill="DAEEF3" w:themeFill="accent5" w:themeFillTint="33" w:val="clear"/>
          </w:tcPr>
          <w:p>
            <w:pPr>
              <w:pStyle w:val="Normal"/>
              <w:widowControl w:val="false"/>
              <w:rPr>
                <w:rFonts w:ascii="標楷體" w:hAnsi="標楷體" w:eastAsia="標楷體"/>
                <w:b/>
                <w:b/>
                <w:sz w:val="24"/>
              </w:rPr>
            </w:pPr>
            <w:r>
              <w:rPr>
                <w:rFonts w:ascii="標楷體" w:hAnsi="標楷體" w:eastAsia="標楷體"/>
                <w:b/>
                <w:sz w:val="24"/>
              </w:rPr>
              <w:t>節流項目</w:t>
            </w:r>
            <w:r>
              <w:rPr>
                <w:rFonts w:eastAsia="標楷體" w:ascii="標楷體" w:hAnsi="標楷體"/>
                <w:b/>
                <w:sz w:val="24"/>
              </w:rPr>
              <w:t>(</w:t>
            </w:r>
            <w:r>
              <w:rPr>
                <w:rFonts w:ascii="標楷體" w:hAnsi="標楷體" w:eastAsia="標楷體"/>
                <w:b/>
                <w:sz w:val="24"/>
              </w:rPr>
              <w:t>主計處</w:t>
            </w:r>
            <w:r>
              <w:rPr>
                <w:rFonts w:eastAsia="標楷體" w:ascii="標楷體" w:hAnsi="標楷體"/>
                <w:b/>
                <w:sz w:val="24"/>
              </w:rPr>
              <w:t>)</w:t>
            </w:r>
          </w:p>
        </w:tc>
        <w:tc>
          <w:tcPr>
            <w:tcW w:w="1236" w:type="dxa"/>
            <w:tcBorders>
              <w:top w:val="single" w:sz="6" w:space="0" w:color="000000"/>
              <w:left w:val="single" w:sz="6" w:space="0" w:color="000000"/>
              <w:bottom w:val="single" w:sz="6" w:space="0" w:color="000000"/>
              <w:right w:val="single" w:sz="6" w:space="0" w:color="000000"/>
            </w:tcBorders>
            <w:shd w:color="auto" w:fill="DAEEF3" w:themeFill="accent5" w:themeFillTint="33" w:val="clear"/>
          </w:tcPr>
          <w:p>
            <w:pPr>
              <w:pStyle w:val="Normal"/>
              <w:widowControl w:val="false"/>
              <w:rPr>
                <w:rFonts w:ascii="標楷體" w:hAnsi="標楷體" w:eastAsia="標楷體"/>
                <w:b/>
                <w:b/>
                <w:sz w:val="24"/>
              </w:rPr>
            </w:pPr>
            <w:r>
              <w:rPr>
                <w:rFonts w:ascii="標楷體" w:hAnsi="標楷體" w:eastAsia="標楷體"/>
                <w:b/>
                <w:sz w:val="24"/>
              </w:rPr>
              <w:t>承辦單位</w:t>
            </w:r>
          </w:p>
        </w:tc>
        <w:tc>
          <w:tcPr>
            <w:tcW w:w="2716" w:type="dxa"/>
            <w:gridSpan w:val="2"/>
            <w:tcBorders>
              <w:top w:val="single" w:sz="6" w:space="0" w:color="000000"/>
              <w:left w:val="single" w:sz="6" w:space="0" w:color="000000"/>
              <w:bottom w:val="single" w:sz="6" w:space="0" w:color="000000"/>
              <w:right w:val="single" w:sz="6" w:space="0" w:color="000000"/>
            </w:tcBorders>
            <w:shd w:color="auto" w:fill="DAEEF3" w:themeFill="accent5" w:themeFillTint="33" w:val="clear"/>
          </w:tcPr>
          <w:p>
            <w:pPr>
              <w:pStyle w:val="Normal"/>
              <w:widowControl w:val="false"/>
              <w:rPr>
                <w:rFonts w:ascii="標楷體" w:hAnsi="標楷體" w:eastAsia="標楷體"/>
                <w:b/>
                <w:b/>
                <w:sz w:val="24"/>
              </w:rPr>
            </w:pPr>
            <w:r>
              <w:rPr>
                <w:rFonts w:ascii="標楷體" w:hAnsi="標楷體" w:eastAsia="標楷體"/>
                <w:b/>
                <w:sz w:val="24"/>
              </w:rPr>
              <w:t>獎懲標準</w:t>
            </w:r>
          </w:p>
        </w:tc>
      </w:tr>
      <w:tr>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cs="標楷體"/>
                <w:sz w:val="24"/>
              </w:rPr>
            </w:pPr>
            <w:r>
              <w:rPr>
                <w:rFonts w:ascii="標楷體" w:hAnsi="標楷體" w:cs="標楷體" w:eastAsia="標楷體"/>
                <w:sz w:val="24"/>
              </w:rPr>
              <w:t>加強節約各項能源</w:t>
            </w:r>
            <w:r>
              <w:rPr>
                <w:rFonts w:eastAsia="標楷體" w:cs="標楷體" w:ascii="標楷體" w:hAnsi="標楷體"/>
                <w:sz w:val="24"/>
              </w:rPr>
              <w:t>(</w:t>
            </w:r>
            <w:r>
              <w:rPr>
                <w:rFonts w:ascii="標楷體" w:hAnsi="標楷體" w:cs="標楷體" w:eastAsia="標楷體"/>
                <w:sz w:val="24"/>
              </w:rPr>
              <w:t>水、電</w:t>
            </w:r>
            <w:r>
              <w:rPr>
                <w:rFonts w:eastAsia="標楷體" w:cs="標楷體" w:ascii="標楷體" w:hAnsi="標楷體"/>
                <w:sz w:val="24"/>
              </w:rPr>
              <w:t>)</w:t>
            </w:r>
            <w:r>
              <w:rPr>
                <w:rFonts w:ascii="標楷體" w:hAnsi="標楷體" w:cs="標楷體" w:eastAsia="標楷體"/>
                <w:sz w:val="24"/>
              </w:rPr>
              <w:t xml:space="preserve">及各項資源 </w:t>
            </w:r>
            <w:r>
              <w:rPr>
                <w:rFonts w:eastAsia="標楷體" w:cs="標楷體" w:ascii="標楷體" w:hAnsi="標楷體"/>
                <w:sz w:val="24"/>
              </w:rPr>
              <w:t>(</w:t>
            </w:r>
            <w:r>
              <w:rPr>
                <w:rFonts w:ascii="標楷體" w:hAnsi="標楷體" w:cs="標楷體" w:eastAsia="標楷體"/>
                <w:sz w:val="24"/>
              </w:rPr>
              <w:t>電信服務費、文具用品等</w:t>
            </w:r>
            <w:r>
              <w:rPr>
                <w:rFonts w:eastAsia="標楷體" w:cs="標楷體" w:ascii="標楷體" w:hAnsi="標楷體"/>
                <w:sz w:val="24"/>
              </w:rPr>
              <w:t>)</w:t>
            </w:r>
            <w:r>
              <w:rPr>
                <w:rFonts w:ascii="標楷體" w:hAnsi="標楷體" w:cs="標楷體" w:eastAsia="標楷體"/>
                <w:sz w:val="24"/>
              </w:rPr>
              <w:t>。</w:t>
            </w:r>
          </w:p>
          <w:p>
            <w:pPr>
              <w:pStyle w:val="ListParagraph"/>
              <w:widowControl w:val="false"/>
              <w:ind w:left="360" w:hanging="0"/>
              <w:rPr>
                <w:rFonts w:ascii="標楷體" w:hAnsi="標楷體" w:eastAsia="標楷體" w:cs="標楷體"/>
                <w:sz w:val="24"/>
              </w:rPr>
            </w:pPr>
            <w:r>
              <w:rPr>
                <w:rFonts w:eastAsia="標楷體" w:cs="標楷體" w:ascii="標楷體" w:hAnsi="標楷體"/>
                <w:sz w:val="24"/>
              </w:rPr>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1439"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cs="標楷體"/>
                <w:sz w:val="24"/>
              </w:rPr>
            </w:pPr>
            <w:r>
              <w:rPr>
                <w:rFonts w:ascii="標楷體" w:hAnsi="標楷體" w:cs="標楷體" w:eastAsia="標楷體"/>
                <w:sz w:val="24"/>
              </w:rPr>
              <w:t>為響應環保政策，節約能源，各單位應妥善利</w:t>
            </w:r>
          </w:p>
          <w:p>
            <w:pPr>
              <w:pStyle w:val="ListParagraph"/>
              <w:widowControl w:val="false"/>
              <w:ind w:left="360" w:hanging="0"/>
              <w:rPr>
                <w:rFonts w:ascii="標楷體" w:hAnsi="標楷體" w:eastAsia="標楷體" w:cs="標楷體"/>
                <w:sz w:val="24"/>
              </w:rPr>
            </w:pPr>
            <w:r>
              <w:rPr>
                <w:rFonts w:ascii="標楷體" w:hAnsi="標楷體" w:cs="標楷體" w:eastAsia="標楷體"/>
                <w:sz w:val="24"/>
              </w:rPr>
              <w:t>用資訊科技資源共享，資料互通效能，將各類訊息資料透過網路傳遞，減少紙張用量，公務用紙應回收再利用，並以雙面使用為原則。</w:t>
            </w:r>
          </w:p>
          <w:p>
            <w:pPr>
              <w:pStyle w:val="ListParagraph"/>
              <w:widowControl w:val="false"/>
              <w:ind w:left="360" w:hanging="0"/>
              <w:rPr>
                <w:rFonts w:ascii="標楷體" w:hAnsi="標楷體" w:eastAsia="標楷體"/>
                <w:sz w:val="24"/>
              </w:rPr>
            </w:pPr>
            <w:r>
              <w:rPr>
                <w:rFonts w:eastAsia="標楷體" w:ascii="標楷體" w:hAnsi="標楷體"/>
                <w:sz w:val="24"/>
              </w:rPr>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1440"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sz w:val="24"/>
              </w:rPr>
            </w:pPr>
            <w:r>
              <w:rPr>
                <w:rFonts w:ascii="標楷體" w:hAnsi="標楷體" w:cs="標楷體" w:eastAsia="標楷體"/>
                <w:sz w:val="24"/>
              </w:rPr>
              <w:t>加班之核派，應從嚴從實，主管於核派加班時，應確實審核加班之必要性，不得寬濫；各機關應加強加班出勤之查核，如有不實，應依規定懲處。</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r>
              <w:rPr>
                <w:rFonts w:eastAsia="標楷體" w:cs="標楷體" w:ascii="標楷體" w:hAnsi="標楷體"/>
                <w:sz w:val="24"/>
              </w:rPr>
              <w:br/>
            </w:r>
            <w:r>
              <w:rPr>
                <w:rFonts w:ascii="標楷體" w:hAnsi="標楷體" w:cs="標楷體" w:eastAsia="標楷體"/>
                <w:sz w:val="24"/>
              </w:rPr>
              <w:t>人事處</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若查察確有不實之情事，請人事處依相關規定懲處。</w:t>
            </w:r>
          </w:p>
        </w:tc>
      </w:tr>
      <w:tr>
        <w:trPr>
          <w:trHeight w:val="1266"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cs="標楷體"/>
                <w:sz w:val="24"/>
              </w:rPr>
            </w:pPr>
            <w:r>
              <w:rPr>
                <w:rFonts w:ascii="標楷體" w:hAnsi="標楷體" w:cs="標楷體" w:eastAsia="標楷體"/>
                <w:sz w:val="24"/>
              </w:rPr>
              <w:t>出差之派遣，應嚴格控管，其經費之支付，應</w:t>
            </w:r>
          </w:p>
          <w:p>
            <w:pPr>
              <w:pStyle w:val="ListParagraph"/>
              <w:widowControl w:val="false"/>
              <w:ind w:left="360" w:hanging="0"/>
              <w:rPr>
                <w:rFonts w:ascii="標楷體" w:hAnsi="標楷體" w:eastAsia="標楷體"/>
                <w:sz w:val="24"/>
              </w:rPr>
            </w:pPr>
            <w:r>
              <w:rPr>
                <w:rFonts w:ascii="標楷體" w:hAnsi="標楷體" w:cs="標楷體" w:eastAsia="標楷體"/>
                <w:sz w:val="24"/>
              </w:rPr>
              <w:t>力求覈實，避免浮濫，如有不實，應依規定懲處。</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r>
              <w:rPr>
                <w:rFonts w:eastAsia="標楷體" w:cs="標楷體" w:ascii="標楷體" w:hAnsi="標楷體"/>
                <w:sz w:val="24"/>
              </w:rPr>
              <w:br/>
            </w:r>
            <w:r>
              <w:rPr>
                <w:rFonts w:ascii="標楷體" w:hAnsi="標楷體" w:cs="標楷體" w:eastAsia="標楷體"/>
                <w:sz w:val="24"/>
              </w:rPr>
              <w:t>人事處</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若查察確有不實之情事，請人事處依相關規定懲處。</w:t>
            </w:r>
          </w:p>
        </w:tc>
      </w:tr>
      <w:tr>
        <w:trPr>
          <w:trHeight w:val="973"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cs="標楷體"/>
                <w:sz w:val="24"/>
              </w:rPr>
            </w:pPr>
            <w:r>
              <w:rPr>
                <w:rFonts w:ascii="標楷體" w:hAnsi="標楷體" w:cs="標楷體" w:eastAsia="標楷體"/>
                <w:sz w:val="24"/>
              </w:rPr>
              <w:t>嚴格控管或逐年減少約聘僱、臨時人員</w:t>
            </w:r>
          </w:p>
          <w:p>
            <w:pPr>
              <w:pStyle w:val="ListParagraph"/>
              <w:widowControl w:val="false"/>
              <w:ind w:left="360" w:hanging="0"/>
              <w:rPr>
                <w:rFonts w:ascii="標楷體" w:hAnsi="標楷體" w:eastAsia="標楷體"/>
                <w:sz w:val="24"/>
              </w:rPr>
            </w:pPr>
            <w:r>
              <w:rPr>
                <w:rFonts w:eastAsia="標楷體" w:ascii="標楷體" w:hAnsi="標楷體"/>
                <w:sz w:val="24"/>
              </w:rPr>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sz w:val="24"/>
              </w:rPr>
            </w:pPr>
            <w:r>
              <w:rPr>
                <w:rFonts w:ascii="標楷體" w:hAnsi="標楷體" w:cs="標楷體" w:eastAsia="標楷體"/>
                <w:sz w:val="24"/>
              </w:rPr>
              <w:t>各單位</w:t>
            </w:r>
          </w:p>
          <w:p>
            <w:pPr>
              <w:pStyle w:val="Normal"/>
              <w:rPr>
                <w:rFonts w:ascii="標楷體" w:hAnsi="標楷體" w:eastAsia="標楷體" w:cs="標楷體"/>
                <w:sz w:val="24"/>
              </w:rPr>
            </w:pPr>
            <w:r>
              <w:rPr>
                <w:rFonts w:ascii="標楷體" w:hAnsi="標楷體" w:cs="標楷體" w:eastAsia="標楷體"/>
                <w:sz w:val="24"/>
              </w:rPr>
              <w:t>各機關</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s="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p>
            <w:pPr>
              <w:pStyle w:val="Normal"/>
              <w:widowControl w:val="false"/>
              <w:rPr>
                <w:rFonts w:ascii="標楷體" w:hAnsi="標楷體" w:eastAsia="標楷體"/>
                <w:sz w:val="24"/>
              </w:rPr>
            </w:pPr>
            <w:r>
              <w:rPr>
                <w:rFonts w:eastAsia="標楷體" w:ascii="標楷體" w:hAnsi="標楷體"/>
                <w:sz w:val="24"/>
              </w:rPr>
            </w:r>
          </w:p>
        </w:tc>
      </w:tr>
      <w:tr>
        <w:trPr>
          <w:trHeight w:val="1382"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cs="標楷體"/>
                <w:sz w:val="24"/>
              </w:rPr>
            </w:pPr>
            <w:r>
              <w:rPr>
                <w:rFonts w:ascii="標楷體" w:hAnsi="標楷體" w:cs="標楷體" w:eastAsia="標楷體"/>
                <w:sz w:val="24"/>
              </w:rPr>
              <w:t>召開會議除供應茶水及逾用餐時間供應便當外，不提供點心、水果，且不得以聯誼餐敘辦理。</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cs="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p>
            <w:pPr>
              <w:pStyle w:val="Normal"/>
              <w:widowControl w:val="false"/>
              <w:rPr>
                <w:rFonts w:ascii="標楷體" w:hAnsi="標楷體" w:eastAsia="標楷體" w:cs="標楷體"/>
                <w:sz w:val="24"/>
              </w:rPr>
            </w:pPr>
            <w:r>
              <w:rPr>
                <w:rFonts w:eastAsia="標楷體" w:cs="標楷體" w:ascii="標楷體" w:hAnsi="標楷體"/>
                <w:sz w:val="24"/>
              </w:rPr>
            </w:r>
          </w:p>
        </w:tc>
      </w:tr>
      <w:tr>
        <w:trPr>
          <w:trHeight w:val="1696"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sz w:val="24"/>
              </w:rPr>
            </w:pPr>
            <w:r>
              <w:rPr>
                <w:rFonts w:ascii="標楷體" w:hAnsi="標楷體" w:cs="標楷體" w:eastAsia="標楷體"/>
                <w:sz w:val="24"/>
              </w:rPr>
              <w:t>各項會議、講習訓練及研習等活動，以在機關內部辦理為原則。如有必要，得洽借所在地或鄰近地區之機關或訓練機關之場地，在其所訂一般收費標準範圍內辦理。</w:t>
            </w:r>
          </w:p>
          <w:p>
            <w:pPr>
              <w:pStyle w:val="Normal"/>
              <w:widowControl w:val="false"/>
              <w:ind w:left="259" w:hanging="1"/>
              <w:rPr>
                <w:rFonts w:ascii="標楷體" w:hAnsi="標楷體" w:eastAsia="標楷體" w:cs="標楷體"/>
                <w:sz w:val="24"/>
              </w:rPr>
            </w:pPr>
            <w:r>
              <w:rPr>
                <w:rFonts w:ascii="標楷體" w:hAnsi="標楷體" w:cs="標楷體" w:eastAsia="標楷體"/>
                <w:sz w:val="24"/>
              </w:rPr>
              <w:t xml:space="preserve"> </w:t>
            </w:r>
            <w:r>
              <w:rPr>
                <w:rFonts w:ascii="標楷體" w:hAnsi="標楷體" w:cs="標楷體" w:eastAsia="標楷體"/>
                <w:sz w:val="24"/>
              </w:rPr>
              <w:t xml:space="preserve">前述各項會議、講習訓練及研習等活動，不 </w:t>
            </w:r>
          </w:p>
          <w:p>
            <w:pPr>
              <w:pStyle w:val="Normal"/>
              <w:widowControl w:val="false"/>
              <w:ind w:left="259" w:hanging="1"/>
              <w:rPr>
                <w:rFonts w:ascii="標楷體" w:hAnsi="標楷體" w:eastAsia="標楷體" w:cs="標楷體"/>
                <w:sz w:val="24"/>
              </w:rPr>
            </w:pPr>
            <w:r>
              <w:rPr>
                <w:rFonts w:ascii="標楷體" w:hAnsi="標楷體" w:cs="標楷體" w:eastAsia="標楷體"/>
                <w:sz w:val="24"/>
              </w:rPr>
              <w:t xml:space="preserve"> </w:t>
            </w:r>
            <w:r>
              <w:rPr>
                <w:rFonts w:ascii="標楷體" w:hAnsi="標楷體" w:cs="標楷體" w:eastAsia="標楷體"/>
                <w:sz w:val="24"/>
              </w:rPr>
              <w:t>宜購置紀念品及禮品給參加人員，逾用餐時</w:t>
            </w:r>
          </w:p>
          <w:p>
            <w:pPr>
              <w:pStyle w:val="Normal"/>
              <w:widowControl w:val="false"/>
              <w:ind w:left="259" w:hanging="1"/>
              <w:rPr>
                <w:rFonts w:ascii="標楷體" w:hAnsi="標楷體" w:eastAsia="標楷體" w:cs="標楷體"/>
                <w:sz w:val="24"/>
              </w:rPr>
            </w:pPr>
            <w:r>
              <w:rPr>
                <w:rFonts w:ascii="標楷體" w:hAnsi="標楷體" w:cs="標楷體" w:eastAsia="標楷體"/>
                <w:sz w:val="24"/>
              </w:rPr>
              <w:t xml:space="preserve"> </w:t>
            </w:r>
            <w:r>
              <w:rPr>
                <w:rFonts w:ascii="標楷體" w:hAnsi="標楷體" w:cs="標楷體" w:eastAsia="標楷體"/>
                <w:sz w:val="24"/>
              </w:rPr>
              <w:t>間以提供便當為原則，如有特殊原因需以桌</w:t>
            </w:r>
          </w:p>
          <w:p>
            <w:pPr>
              <w:pStyle w:val="Normal"/>
              <w:widowControl w:val="false"/>
              <w:ind w:left="259" w:hanging="1"/>
              <w:rPr>
                <w:rFonts w:ascii="標楷體" w:hAnsi="標楷體" w:eastAsia="標楷體"/>
                <w:sz w:val="24"/>
                <w:u w:val="single"/>
              </w:rPr>
            </w:pPr>
            <w:r>
              <w:rPr>
                <w:rFonts w:ascii="標楷體" w:hAnsi="標楷體" w:cs="標楷體" w:eastAsia="標楷體"/>
                <w:sz w:val="24"/>
              </w:rPr>
              <w:t xml:space="preserve"> </w:t>
            </w:r>
            <w:r>
              <w:rPr>
                <w:rFonts w:ascii="標楷體" w:hAnsi="標楷體" w:cs="標楷體" w:eastAsia="標楷體"/>
                <w:sz w:val="24"/>
              </w:rPr>
              <w:t>餐方式辦理，應事先簽准。</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1256"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5"/>
              </w:numPr>
              <w:rPr>
                <w:rFonts w:ascii="標楷體" w:hAnsi="標楷體" w:eastAsia="標楷體" w:cs="標楷體"/>
                <w:sz w:val="24"/>
              </w:rPr>
            </w:pPr>
            <w:r>
              <w:rPr>
                <w:rFonts w:ascii="標楷體" w:hAnsi="標楷體" w:cs="標楷體" w:eastAsia="標楷體"/>
                <w:sz w:val="24"/>
              </w:rPr>
              <w:t>各項業務活動力求樸實儉約，如有特殊需要購</w:t>
            </w:r>
          </w:p>
          <w:p>
            <w:pPr>
              <w:pStyle w:val="ListParagraph"/>
              <w:widowControl w:val="false"/>
              <w:ind w:left="360" w:hanging="0"/>
              <w:rPr>
                <w:rFonts w:ascii="標楷體" w:hAnsi="標楷體" w:eastAsia="標楷體" w:cs="標楷體"/>
                <w:sz w:val="24"/>
              </w:rPr>
            </w:pPr>
            <w:r>
              <w:rPr>
                <w:rFonts w:ascii="標楷體" w:hAnsi="標楷體" w:cs="標楷體" w:eastAsia="標楷體"/>
                <w:sz w:val="24"/>
              </w:rPr>
              <w:t>置宣導品者，應不超過</w:t>
            </w:r>
            <w:r>
              <w:rPr>
                <w:rFonts w:eastAsia="標楷體" w:cs="標楷體" w:ascii="標楷體" w:hAnsi="標楷體"/>
                <w:sz w:val="24"/>
              </w:rPr>
              <w:t>100</w:t>
            </w:r>
            <w:r>
              <w:rPr>
                <w:rFonts w:ascii="標楷體" w:hAnsi="標楷體" w:cs="標楷體" w:eastAsia="標楷體"/>
                <w:sz w:val="24"/>
              </w:rPr>
              <w:t>元為原則。</w:t>
            </w:r>
          </w:p>
          <w:p>
            <w:pPr>
              <w:pStyle w:val="Normal"/>
              <w:widowControl w:val="false"/>
              <w:ind w:left="260" w:hanging="0"/>
              <w:rPr>
                <w:rFonts w:ascii="標楷體" w:hAnsi="標楷體" w:eastAsia="標楷體" w:cs="標楷體"/>
                <w:sz w:val="24"/>
              </w:rPr>
            </w:pPr>
            <w:r>
              <w:rPr>
                <w:rFonts w:ascii="標楷體" w:hAnsi="標楷體" w:cs="標楷體" w:eastAsia="標楷體"/>
                <w:sz w:val="24"/>
              </w:rPr>
              <w:t xml:space="preserve"> </w:t>
            </w:r>
            <w:r>
              <w:rPr>
                <w:rFonts w:ascii="標楷體" w:hAnsi="標楷體" w:cs="標楷體" w:eastAsia="標楷體"/>
                <w:sz w:val="24"/>
              </w:rPr>
              <w:t xml:space="preserve">與業務推動無關或非必要之禮品採購及聯誼 </w:t>
            </w:r>
          </w:p>
          <w:p>
            <w:pPr>
              <w:pStyle w:val="Normal"/>
              <w:widowControl w:val="false"/>
              <w:ind w:left="260" w:hanging="0"/>
              <w:rPr>
                <w:rFonts w:ascii="標楷體" w:hAnsi="標楷體" w:eastAsia="標楷體" w:cs="標楷體"/>
                <w:sz w:val="24"/>
              </w:rPr>
            </w:pPr>
            <w:r>
              <w:rPr>
                <w:rFonts w:ascii="標楷體" w:hAnsi="標楷體" w:cs="標楷體" w:eastAsia="標楷體"/>
                <w:sz w:val="24"/>
              </w:rPr>
              <w:t xml:space="preserve"> </w:t>
            </w:r>
            <w:r>
              <w:rPr>
                <w:rFonts w:ascii="標楷體" w:hAnsi="標楷體" w:cs="標楷體" w:eastAsia="標楷體"/>
                <w:sz w:val="24"/>
              </w:rPr>
              <w:t>餐敘，不得辦理，外賓來訪接待以</w:t>
            </w:r>
            <w:r>
              <w:rPr>
                <w:rFonts w:eastAsia="標楷體" w:cs="標楷體" w:ascii="標楷體" w:hAnsi="標楷體"/>
                <w:sz w:val="24"/>
              </w:rPr>
              <w:t>1</w:t>
            </w:r>
            <w:r>
              <w:rPr>
                <w:rFonts w:ascii="標楷體" w:hAnsi="標楷體" w:cs="標楷體" w:eastAsia="標楷體"/>
                <w:sz w:val="24"/>
              </w:rPr>
              <w:t>餐為宜。</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1256"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6"/>
              </w:numPr>
              <w:rPr>
                <w:rFonts w:ascii="標楷體" w:hAnsi="標楷體" w:eastAsia="標楷體"/>
                <w:sz w:val="24"/>
              </w:rPr>
            </w:pPr>
            <w:r>
              <w:rPr>
                <w:rFonts w:ascii="標楷體" w:hAnsi="標楷體" w:cs="標楷體" w:eastAsia="標楷體"/>
                <w:sz w:val="24"/>
              </w:rPr>
              <w:t>各機關工程發包節餘款，除符合原工作計畫用途，並經專案報奉本府核准外，一律不得動支。年度終了未發生權責之經費，除經專案報奉本府核准外，一律不得保留。</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1256"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7"/>
              </w:numPr>
              <w:rPr>
                <w:rFonts w:ascii="標楷體" w:hAnsi="標楷體" w:eastAsia="標楷體" w:cs="標楷體"/>
                <w:sz w:val="24"/>
              </w:rPr>
            </w:pPr>
            <w:r>
              <w:rPr>
                <w:rFonts w:ascii="標楷體" w:hAnsi="標楷體" w:cs="標楷體" w:eastAsia="標楷體"/>
                <w:sz w:val="24"/>
              </w:rPr>
              <w:t>各機關歲出預算中，以特定收入為財源收支併</w:t>
            </w:r>
          </w:p>
          <w:p>
            <w:pPr>
              <w:pStyle w:val="ListParagraph"/>
              <w:widowControl w:val="false"/>
              <w:ind w:left="360" w:hanging="0"/>
              <w:rPr>
                <w:rFonts w:ascii="標楷體" w:hAnsi="標楷體" w:eastAsia="標楷體"/>
                <w:sz w:val="24"/>
              </w:rPr>
            </w:pPr>
            <w:r>
              <w:rPr>
                <w:rFonts w:ascii="標楷體" w:hAnsi="標楷體" w:cs="標楷體" w:eastAsia="標楷體"/>
                <w:sz w:val="24"/>
              </w:rPr>
              <w:t>列者，其歲出預算之執行應視歲入實收情形，嚴加控制，歲入發生短收時，應相對核減歲出。資本支出部分：已發包之工程，如有上級補助款未核撥者，應儘速向上級請撥補助款，以利縣庫調度。</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p>
            <w:pPr>
              <w:pStyle w:val="Normal"/>
              <w:widowControl w:val="false"/>
              <w:rPr>
                <w:rFonts w:ascii="標楷體" w:hAnsi="標楷體" w:eastAsia="標楷體"/>
                <w:sz w:val="24"/>
              </w:rPr>
            </w:pPr>
            <w:r>
              <w:rPr>
                <w:rFonts w:eastAsia="標楷體" w:ascii="標楷體" w:hAnsi="標楷體"/>
                <w:sz w:val="24"/>
              </w:rPr>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933"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7"/>
              </w:numPr>
              <w:rPr>
                <w:rFonts w:ascii="標楷體" w:hAnsi="標楷體" w:eastAsia="標楷體" w:cs="標楷體"/>
                <w:sz w:val="24"/>
              </w:rPr>
            </w:pPr>
            <w:r>
              <w:rPr>
                <w:rFonts w:ascii="標楷體" w:hAnsi="標楷體" w:cs="標楷體" w:eastAsia="標楷體"/>
                <w:sz w:val="24"/>
              </w:rPr>
              <w:t>已逾汰換年限之設備，屬仍堪用部分，應繼</w:t>
            </w:r>
          </w:p>
          <w:p>
            <w:pPr>
              <w:pStyle w:val="ListParagraph"/>
              <w:widowControl w:val="false"/>
              <w:ind w:left="360" w:hanging="0"/>
              <w:rPr>
                <w:rFonts w:ascii="標楷體" w:hAnsi="標楷體" w:eastAsia="標楷體"/>
                <w:sz w:val="24"/>
              </w:rPr>
            </w:pPr>
            <w:r>
              <w:rPr>
                <w:rFonts w:ascii="標楷體" w:hAnsi="標楷體" w:cs="標楷體" w:eastAsia="標楷體"/>
                <w:sz w:val="24"/>
              </w:rPr>
              <w:t>續使用，暫緩汰換。</w:t>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rPr>
                <w:rFonts w:ascii="標楷體" w:hAnsi="標楷體" w:eastAsia="標楷體" w:cs="標楷體"/>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r>
        <w:trPr>
          <w:trHeight w:val="821" w:hRule="atLeast"/>
        </w:trPr>
        <w:tc>
          <w:tcPr>
            <w:tcW w:w="5108" w:type="dxa"/>
            <w:tcBorders>
              <w:top w:val="single" w:sz="6" w:space="0" w:color="000000"/>
              <w:left w:val="single" w:sz="6" w:space="0" w:color="000000"/>
              <w:bottom w:val="single" w:sz="6" w:space="0" w:color="000000"/>
              <w:right w:val="single" w:sz="6" w:space="0" w:color="000000"/>
            </w:tcBorders>
            <w:shd w:fill="auto" w:val="clear"/>
          </w:tcPr>
          <w:p>
            <w:pPr>
              <w:pStyle w:val="ListParagraph"/>
              <w:widowControl w:val="false"/>
              <w:numPr>
                <w:ilvl w:val="0"/>
                <w:numId w:val="7"/>
              </w:numPr>
              <w:rPr>
                <w:rFonts w:ascii="標楷體" w:hAnsi="標楷體" w:eastAsia="標楷體" w:cs="標楷體"/>
                <w:sz w:val="24"/>
              </w:rPr>
            </w:pPr>
            <w:r>
              <w:rPr>
                <w:rFonts w:ascii="標楷體" w:hAnsi="標楷體" w:cs="標楷體" w:eastAsia="標楷體"/>
                <w:sz w:val="24"/>
              </w:rPr>
              <w:t>自創節流計畫項目。</w:t>
            </w:r>
          </w:p>
          <w:p>
            <w:pPr>
              <w:pStyle w:val="ListParagraph"/>
              <w:widowControl w:val="false"/>
              <w:ind w:left="360" w:hanging="0"/>
              <w:rPr>
                <w:rFonts w:ascii="標楷體" w:hAnsi="標楷體" w:eastAsia="標楷體" w:cs="標楷體"/>
                <w:sz w:val="24"/>
              </w:rPr>
            </w:pPr>
            <w:r>
              <w:rPr>
                <w:rFonts w:eastAsia="標楷體" w:cs="標楷體" w:ascii="標楷體" w:hAnsi="標楷體"/>
                <w:sz w:val="24"/>
              </w:rPr>
            </w:r>
          </w:p>
        </w:tc>
        <w:tc>
          <w:tcPr>
            <w:tcW w:w="123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各單位</w:t>
            </w:r>
            <w:r>
              <w:rPr>
                <w:rFonts w:eastAsia="標楷體" w:cs="標楷體" w:ascii="標楷體" w:hAnsi="標楷體"/>
                <w:sz w:val="24"/>
              </w:rPr>
              <w:br/>
            </w:r>
            <w:r>
              <w:rPr>
                <w:rFonts w:ascii="標楷體" w:hAnsi="標楷體" w:cs="標楷體" w:eastAsia="標楷體"/>
                <w:sz w:val="24"/>
              </w:rPr>
              <w:t>各機關</w:t>
            </w:r>
          </w:p>
        </w:tc>
        <w:tc>
          <w:tcPr>
            <w:tcW w:w="27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標楷體" w:hAnsi="標楷體" w:eastAsia="標楷體"/>
                <w:sz w:val="24"/>
              </w:rPr>
            </w:pPr>
            <w:r>
              <w:rPr>
                <w:rFonts w:ascii="標楷體" w:hAnsi="標楷體" w:cs="標楷體" w:eastAsia="標楷體"/>
                <w:sz w:val="24"/>
              </w:rPr>
              <w:t>視辦理情形：</w:t>
            </w:r>
            <w:r>
              <w:rPr>
                <w:rFonts w:eastAsia="標楷體" w:cs="標楷體" w:ascii="標楷體" w:hAnsi="標楷體"/>
                <w:sz w:val="24"/>
              </w:rPr>
              <w:br/>
            </w:r>
            <w:r>
              <w:rPr>
                <w:rFonts w:ascii="標楷體" w:hAnsi="標楷體" w:cs="標楷體" w:eastAsia="標楷體"/>
                <w:sz w:val="24"/>
              </w:rPr>
              <w:t>專案提報獎懲</w:t>
            </w:r>
          </w:p>
        </w:tc>
      </w:tr>
    </w:tbl>
    <w:p>
      <w:pPr>
        <w:pStyle w:val="Normal"/>
        <w:rPr/>
      </w:pPr>
      <w:r>
        <w:rPr/>
      </w:r>
    </w:p>
    <w:sectPr>
      <w:type w:val="nextPage"/>
      <w:pgSz w:w="11906" w:h="16838"/>
      <w:pgMar w:left="1800" w:right="1800" w:header="720" w:top="1440" w:footer="72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MS Sans Serif">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465" w:hanging="360"/>
      </w:pPr>
    </w:lvl>
    <w:lvl w:ilvl="1">
      <w:start w:val="1"/>
      <w:numFmt w:val="ideographTraditional"/>
      <w:lvlText w:val="%2、"/>
      <w:lvlJc w:val="left"/>
      <w:pPr>
        <w:ind w:left="1065" w:hanging="480"/>
      </w:pPr>
    </w:lvl>
    <w:lvl w:ilvl="2">
      <w:start w:val="1"/>
      <w:numFmt w:val="lowerRoman"/>
      <w:lvlText w:val="%3."/>
      <w:lvlJc w:val="right"/>
      <w:pPr>
        <w:ind w:left="1545" w:hanging="480"/>
      </w:pPr>
    </w:lvl>
    <w:lvl w:ilvl="3">
      <w:start w:val="1"/>
      <w:numFmt w:val="decimal"/>
      <w:lvlText w:val="%4."/>
      <w:lvlJc w:val="left"/>
      <w:pPr>
        <w:ind w:left="2025" w:hanging="480"/>
      </w:pPr>
    </w:lvl>
    <w:lvl w:ilvl="4">
      <w:start w:val="1"/>
      <w:numFmt w:val="ideographTraditional"/>
      <w:lvlText w:val="%5、"/>
      <w:lvlJc w:val="left"/>
      <w:pPr>
        <w:ind w:left="2505" w:hanging="480"/>
      </w:p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9"/>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0"/>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2"/>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663e"/>
    <w:pPr>
      <w:widowControl/>
      <w:overflowPunct w:val="true"/>
      <w:bidi w:val="0"/>
      <w:jc w:val="left"/>
    </w:pPr>
    <w:rPr>
      <w:rFonts w:ascii="MS Sans Serif" w:hAnsi="MS Sans Serif" w:eastAsia="新細明體" w:cs="Times New Roman" w:eastAsiaTheme="minorEastAsia"/>
      <w:color w:val="auto"/>
      <w:kern w:val="0"/>
      <w:sz w:val="20"/>
      <w:szCs w:val="20"/>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qFormat/>
    <w:rsid w:val="009c0e93"/>
    <w:rPr>
      <w:rFonts w:ascii="MS Sans Serif" w:hAnsi="MS Sans Serif" w:eastAsia="新細明體" w:cs="Times New Roman"/>
      <w:kern w:val="0"/>
      <w:sz w:val="20"/>
      <w:szCs w:val="20"/>
    </w:rPr>
  </w:style>
  <w:style w:type="character" w:styleId="Style15" w:customStyle="1">
    <w:name w:val="頁尾 字元"/>
    <w:basedOn w:val="DefaultParagraphFont"/>
    <w:link w:val="a5"/>
    <w:uiPriority w:val="99"/>
    <w:qFormat/>
    <w:rsid w:val="009c0e93"/>
    <w:rPr>
      <w:rFonts w:ascii="MS Sans Serif" w:hAnsi="MS Sans Serif" w:eastAsia="新細明體" w:cs="Times New Roman"/>
      <w:kern w:val="0"/>
      <w:sz w:val="20"/>
      <w:szCs w:val="20"/>
    </w:rPr>
  </w:style>
  <w:style w:type="character" w:styleId="Style16" w:customStyle="1">
    <w:name w:val="註解方塊文字 字元"/>
    <w:basedOn w:val="DefaultParagraphFont"/>
    <w:link w:val="a8"/>
    <w:uiPriority w:val="99"/>
    <w:semiHidden/>
    <w:qFormat/>
    <w:rsid w:val="00b41dd2"/>
    <w:rPr>
      <w:rFonts w:ascii="Cambria" w:hAnsi="Cambria" w:eastAsia="新細明體" w:cs="" w:asciiTheme="majorHAnsi" w:cstheme="majorBidi" w:eastAsiaTheme="majorEastAsia" w:hAnsiTheme="majorHAnsi"/>
      <w:kern w:val="0"/>
      <w:sz w:val="18"/>
      <w:szCs w:val="18"/>
    </w:rPr>
  </w:style>
  <w:style w:type="paragraph" w:styleId="Style17">
    <w:name w:val="標題"/>
    <w:basedOn w:val="Normal"/>
    <w:next w:val="Style18"/>
    <w:qFormat/>
    <w:pPr>
      <w:keepNext w:val="true"/>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Style22">
    <w:name w:val="Header"/>
    <w:basedOn w:val="Normal"/>
    <w:link w:val="a4"/>
    <w:uiPriority w:val="99"/>
    <w:unhideWhenUsed/>
    <w:rsid w:val="009c0e93"/>
    <w:pPr>
      <w:tabs>
        <w:tab w:val="clear" w:pos="480"/>
        <w:tab w:val="center" w:pos="4153" w:leader="none"/>
        <w:tab w:val="right" w:pos="8306" w:leader="none"/>
      </w:tabs>
      <w:snapToGrid w:val="false"/>
    </w:pPr>
    <w:rPr/>
  </w:style>
  <w:style w:type="paragraph" w:styleId="Style23">
    <w:name w:val="Footer"/>
    <w:basedOn w:val="Normal"/>
    <w:link w:val="a6"/>
    <w:uiPriority w:val="99"/>
    <w:unhideWhenUsed/>
    <w:rsid w:val="009c0e93"/>
    <w:pPr>
      <w:tabs>
        <w:tab w:val="clear" w:pos="480"/>
        <w:tab w:val="center" w:pos="4153" w:leader="none"/>
        <w:tab w:val="right" w:pos="8306" w:leader="none"/>
      </w:tabs>
      <w:snapToGrid w:val="false"/>
    </w:pPr>
    <w:rPr/>
  </w:style>
  <w:style w:type="paragraph" w:styleId="ListParagraph">
    <w:name w:val="List Paragraph"/>
    <w:basedOn w:val="Normal"/>
    <w:uiPriority w:val="34"/>
    <w:qFormat/>
    <w:rsid w:val="007d156b"/>
    <w:pPr>
      <w:ind w:left="480" w:hanging="0"/>
    </w:pPr>
    <w:rPr/>
  </w:style>
  <w:style w:type="paragraph" w:styleId="BalloonText">
    <w:name w:val="Balloon Text"/>
    <w:basedOn w:val="Normal"/>
    <w:link w:val="a9"/>
    <w:uiPriority w:val="99"/>
    <w:semiHidden/>
    <w:unhideWhenUsed/>
    <w:qFormat/>
    <w:rsid w:val="00b41dd2"/>
    <w:pPr/>
    <w:rPr>
      <w:rFonts w:ascii="Cambria" w:hAnsi="Cambria" w:eastAsia="新細明體"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B562-AB44-4540-8FE5-1CCD0707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LibreOffice/6.2.0.3$Windows_X86_64 LibreOffice_project/98c6a8a1c6c7b144ce3cc729e34964b47ce25d62</Application>
  <Pages>8</Pages>
  <Words>2965</Words>
  <Characters>3088</Characters>
  <CharactersWithSpaces>3483</CharactersWithSpaces>
  <Paragraphs>167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2019-08-19T09:43:00Z</dcterms:created>
  <dc:creator>lj0808</dc:creator>
  <dc:description/>
  <dc:language>zh-TW</dc:language>
  <cp:lastModifiedBy>f</cp:lastModifiedBy>
  <cp:lastPrinted>2019-08-19T09:59:00Z</cp:lastPrinted>
  <dcterms:modified xsi:type="dcterms:W3CDTF">2019-08-29T02:05:00Z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