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61A" w:rsidRPr="00C83229" w:rsidRDefault="00B468B1" w:rsidP="00C83229">
      <w:pPr>
        <w:spacing w:after="200"/>
        <w:ind w:left="0" w:right="4" w:firstLine="0"/>
        <w:jc w:val="center"/>
        <w:rPr>
          <w:b/>
          <w:sz w:val="40"/>
          <w:szCs w:val="28"/>
        </w:rPr>
      </w:pPr>
      <w:r w:rsidRPr="00C83229">
        <w:rPr>
          <w:b/>
          <w:sz w:val="40"/>
          <w:szCs w:val="28"/>
        </w:rPr>
        <w:t>連江縣</w:t>
      </w:r>
      <w:r w:rsidRPr="00C83229">
        <w:rPr>
          <w:b/>
          <w:sz w:val="40"/>
          <w:szCs w:val="28"/>
        </w:rPr>
        <w:t>109</w:t>
      </w:r>
      <w:r w:rsidRPr="00C83229">
        <w:rPr>
          <w:b/>
          <w:sz w:val="40"/>
          <w:szCs w:val="28"/>
        </w:rPr>
        <w:t>、</w:t>
      </w:r>
      <w:r w:rsidRPr="00C83229">
        <w:rPr>
          <w:b/>
          <w:sz w:val="40"/>
          <w:szCs w:val="28"/>
        </w:rPr>
        <w:t>110</w:t>
      </w:r>
      <w:r w:rsidRPr="00C83229">
        <w:rPr>
          <w:b/>
          <w:sz w:val="40"/>
          <w:szCs w:val="28"/>
        </w:rPr>
        <w:t>年婦女福利施政計畫</w:t>
      </w:r>
    </w:p>
    <w:p w:rsidR="0074061A" w:rsidRPr="00C83229" w:rsidRDefault="00B468B1" w:rsidP="00C83229">
      <w:pPr>
        <w:spacing w:after="222" w:line="265" w:lineRule="auto"/>
        <w:ind w:left="-5"/>
        <w:jc w:val="both"/>
        <w:rPr>
          <w:b/>
          <w:szCs w:val="28"/>
        </w:rPr>
      </w:pPr>
      <w:r w:rsidRPr="00C83229">
        <w:rPr>
          <w:b/>
          <w:szCs w:val="28"/>
        </w:rPr>
        <w:t>壹、前言</w:t>
      </w:r>
      <w:r w:rsidRPr="00C83229">
        <w:rPr>
          <w:b/>
          <w:szCs w:val="28"/>
        </w:rPr>
        <w:t xml:space="preserve"> </w:t>
      </w:r>
    </w:p>
    <w:p w:rsidR="0074061A" w:rsidRPr="00C83229" w:rsidRDefault="00B468B1" w:rsidP="00C83229">
      <w:pPr>
        <w:spacing w:after="0" w:line="388" w:lineRule="auto"/>
        <w:jc w:val="both"/>
        <w:rPr>
          <w:szCs w:val="28"/>
        </w:rPr>
      </w:pPr>
      <w:r w:rsidRPr="00C83229">
        <w:rPr>
          <w:szCs w:val="28"/>
        </w:rPr>
        <w:t xml:space="preserve">    </w:t>
      </w:r>
      <w:r w:rsidRPr="00C83229">
        <w:rPr>
          <w:szCs w:val="28"/>
        </w:rPr>
        <w:t>為營造性別友善城市，強化婦女權益保障、增進弱勢婦女福利保護，本府從婦女社會參與、勞動與經濟、福利與脫貧、教育媒體與文化、健康與醫療、人身安全與性別友善環境六大面向關注婦女福利與權益，促進本縣婦女自我意識、提升婦女福利服務品質、強化弱勢婦女支持服務，實現「健康島</w:t>
      </w:r>
    </w:p>
    <w:p w:rsidR="0074061A" w:rsidRPr="00C83229" w:rsidRDefault="00B468B1" w:rsidP="00C83229">
      <w:pPr>
        <w:spacing w:after="306"/>
        <w:jc w:val="both"/>
        <w:rPr>
          <w:szCs w:val="28"/>
        </w:rPr>
      </w:pPr>
      <w:r w:rsidRPr="00C83229">
        <w:rPr>
          <w:szCs w:val="28"/>
        </w:rPr>
        <w:t>嶼，幸福馬祖」的目標及願景。</w:t>
      </w:r>
      <w:r w:rsidRPr="00C83229">
        <w:rPr>
          <w:szCs w:val="28"/>
        </w:rPr>
        <w:t xml:space="preserve"> </w:t>
      </w:r>
    </w:p>
    <w:p w:rsidR="0074061A" w:rsidRPr="00C83229" w:rsidRDefault="00B468B1" w:rsidP="00C83229">
      <w:pPr>
        <w:spacing w:after="222" w:line="265" w:lineRule="auto"/>
        <w:ind w:left="-5"/>
        <w:jc w:val="both"/>
        <w:rPr>
          <w:b/>
          <w:szCs w:val="28"/>
        </w:rPr>
      </w:pPr>
      <w:r w:rsidRPr="00C83229">
        <w:rPr>
          <w:b/>
          <w:szCs w:val="28"/>
        </w:rPr>
        <w:t>貳、背景</w:t>
      </w:r>
      <w:r w:rsidRPr="00C83229">
        <w:rPr>
          <w:b/>
          <w:szCs w:val="28"/>
        </w:rPr>
        <w:t xml:space="preserve"> </w:t>
      </w:r>
    </w:p>
    <w:p w:rsidR="0074061A" w:rsidRPr="00C83229" w:rsidRDefault="00B468B1" w:rsidP="00C83229">
      <w:pPr>
        <w:spacing w:line="388" w:lineRule="auto"/>
        <w:ind w:left="240" w:firstLine="559"/>
        <w:jc w:val="both"/>
        <w:rPr>
          <w:szCs w:val="28"/>
        </w:rPr>
      </w:pPr>
      <w:r w:rsidRPr="00C83229">
        <w:rPr>
          <w:szCs w:val="28"/>
        </w:rPr>
        <w:t>從</w:t>
      </w:r>
      <w:r w:rsidRPr="00C83229">
        <w:rPr>
          <w:szCs w:val="28"/>
        </w:rPr>
        <w:t>2007</w:t>
      </w:r>
      <w:r w:rsidRPr="00C83229">
        <w:rPr>
          <w:szCs w:val="28"/>
        </w:rPr>
        <w:t>年至</w:t>
      </w:r>
      <w:r w:rsidRPr="00C83229">
        <w:rPr>
          <w:szCs w:val="28"/>
        </w:rPr>
        <w:t>2017</w:t>
      </w:r>
      <w:r w:rsidRPr="00C83229">
        <w:rPr>
          <w:szCs w:val="28"/>
        </w:rPr>
        <w:t>年，我國人口數成長趨勢男性與女性人口逐年增加，其中女性人口上升速度較為男性快，並在</w:t>
      </w:r>
      <w:r w:rsidRPr="00C83229">
        <w:rPr>
          <w:szCs w:val="28"/>
        </w:rPr>
        <w:t>2013</w:t>
      </w:r>
      <w:r w:rsidRPr="00C83229">
        <w:rPr>
          <w:szCs w:val="28"/>
        </w:rPr>
        <w:t>年開始多於男性。然而</w:t>
      </w:r>
      <w:r w:rsidRPr="00C83229">
        <w:rPr>
          <w:szCs w:val="28"/>
        </w:rPr>
        <w:t>2019</w:t>
      </w:r>
      <w:r w:rsidRPr="00C83229">
        <w:rPr>
          <w:szCs w:val="28"/>
        </w:rPr>
        <w:t>年</w:t>
      </w:r>
      <w:r w:rsidRPr="00C83229">
        <w:rPr>
          <w:szCs w:val="28"/>
        </w:rPr>
        <w:t>8</w:t>
      </w:r>
      <w:r w:rsidRPr="00C83229">
        <w:rPr>
          <w:szCs w:val="28"/>
        </w:rPr>
        <w:t>月連江縣人口統計男性</w:t>
      </w:r>
      <w:r w:rsidRPr="00C83229">
        <w:rPr>
          <w:szCs w:val="28"/>
        </w:rPr>
        <w:t>7479</w:t>
      </w:r>
      <w:r w:rsidRPr="00C83229">
        <w:rPr>
          <w:szCs w:val="28"/>
        </w:rPr>
        <w:t>人，女性</w:t>
      </w:r>
      <w:r w:rsidRPr="00C83229">
        <w:rPr>
          <w:szCs w:val="28"/>
        </w:rPr>
        <w:t>5594</w:t>
      </w:r>
      <w:r w:rsidRPr="00C83229">
        <w:rPr>
          <w:szCs w:val="28"/>
        </w:rPr>
        <w:t>人，與全國男女比例相當不同。在婦女生育率部分，全國婦女總生育率呈現波動的趨勢，且</w:t>
      </w:r>
      <w:r w:rsidRPr="00C83229">
        <w:rPr>
          <w:szCs w:val="28"/>
        </w:rPr>
        <w:t>2010</w:t>
      </w:r>
      <w:r w:rsidRPr="00C83229">
        <w:rPr>
          <w:szCs w:val="28"/>
        </w:rPr>
        <w:t>呈現最低點，顯示我國正</w:t>
      </w:r>
      <w:proofErr w:type="gramStart"/>
      <w:r w:rsidRPr="00C83229">
        <w:rPr>
          <w:szCs w:val="28"/>
        </w:rPr>
        <w:t>面臨少子化</w:t>
      </w:r>
      <w:proofErr w:type="gramEnd"/>
      <w:r w:rsidRPr="00C83229">
        <w:rPr>
          <w:szCs w:val="28"/>
        </w:rPr>
        <w:t>問題，而連江縣四鄉的婦女生育率則遠高於全國總生育率</w:t>
      </w:r>
      <w:r w:rsidRPr="00C83229">
        <w:rPr>
          <w:szCs w:val="28"/>
        </w:rPr>
        <w:t>(2018</w:t>
      </w:r>
      <w:r w:rsidRPr="00C83229">
        <w:rPr>
          <w:szCs w:val="28"/>
        </w:rPr>
        <w:t>台灣總生育率</w:t>
      </w:r>
      <w:r w:rsidRPr="00C83229">
        <w:rPr>
          <w:szCs w:val="28"/>
        </w:rPr>
        <w:t>1.08</w:t>
      </w:r>
      <w:r w:rsidRPr="00C83229">
        <w:rPr>
          <w:szCs w:val="28"/>
        </w:rPr>
        <w:t>；連江縣總生育率</w:t>
      </w:r>
      <w:r w:rsidRPr="00C83229">
        <w:rPr>
          <w:szCs w:val="28"/>
        </w:rPr>
        <w:t>1.53)</w:t>
      </w:r>
      <w:r w:rsidRPr="00C83229">
        <w:rPr>
          <w:szCs w:val="28"/>
        </w:rPr>
        <w:t>；教育程度全國也呈現逐年提升趨勢，尤其連江縣「大學」、「研究所」所</w:t>
      </w:r>
      <w:proofErr w:type="gramStart"/>
      <w:r w:rsidRPr="00C83229">
        <w:rPr>
          <w:szCs w:val="28"/>
        </w:rPr>
        <w:t>佔</w:t>
      </w:r>
      <w:proofErr w:type="gramEnd"/>
      <w:r w:rsidRPr="00C83229">
        <w:rPr>
          <w:szCs w:val="28"/>
        </w:rPr>
        <w:t>比例</w:t>
      </w:r>
      <w:r w:rsidRPr="00C83229">
        <w:rPr>
          <w:szCs w:val="28"/>
        </w:rPr>
        <w:t>(31.62%</w:t>
      </w:r>
      <w:r w:rsidRPr="00C83229">
        <w:rPr>
          <w:szCs w:val="28"/>
        </w:rPr>
        <w:t>、</w:t>
      </w:r>
      <w:r w:rsidRPr="00C83229">
        <w:rPr>
          <w:szCs w:val="28"/>
        </w:rPr>
        <w:t>6.29%)</w:t>
      </w:r>
      <w:r w:rsidRPr="00C83229">
        <w:rPr>
          <w:szCs w:val="28"/>
        </w:rPr>
        <w:t>都比全國水準來的高</w:t>
      </w:r>
      <w:r w:rsidRPr="00C83229">
        <w:rPr>
          <w:szCs w:val="28"/>
        </w:rPr>
        <w:t>(27.42%</w:t>
      </w:r>
      <w:r w:rsidRPr="00C83229">
        <w:rPr>
          <w:szCs w:val="28"/>
        </w:rPr>
        <w:t>、</w:t>
      </w:r>
      <w:r w:rsidRPr="00C83229">
        <w:rPr>
          <w:szCs w:val="28"/>
        </w:rPr>
        <w:t>5.17%)</w:t>
      </w:r>
      <w:r w:rsidRPr="00C83229">
        <w:rPr>
          <w:szCs w:val="28"/>
        </w:rPr>
        <w:t>。而勞動參與率全國女性勞動參與率上升，男性勞動參與率下降，歷年連江縣男性勞動參與率同</w:t>
      </w:r>
      <w:r w:rsidRPr="00C83229">
        <w:rPr>
          <w:szCs w:val="28"/>
        </w:rPr>
        <w:t>樣逐年下降至</w:t>
      </w:r>
      <w:r w:rsidRPr="00C83229">
        <w:rPr>
          <w:szCs w:val="28"/>
        </w:rPr>
        <w:t>2016</w:t>
      </w:r>
      <w:r w:rsidRPr="00C83229">
        <w:rPr>
          <w:szCs w:val="28"/>
        </w:rPr>
        <w:t>年才開始有上升，而連江縣</w:t>
      </w:r>
      <w:r w:rsidRPr="00C83229">
        <w:rPr>
          <w:szCs w:val="28"/>
        </w:rPr>
        <w:t>2004</w:t>
      </w:r>
      <w:r w:rsidRPr="00C83229">
        <w:rPr>
          <w:szCs w:val="28"/>
        </w:rPr>
        <w:t>年至</w:t>
      </w:r>
      <w:r w:rsidRPr="00C83229">
        <w:rPr>
          <w:szCs w:val="28"/>
        </w:rPr>
        <w:t>2017</w:t>
      </w:r>
      <w:r w:rsidRPr="00C83229">
        <w:rPr>
          <w:szCs w:val="28"/>
        </w:rPr>
        <w:t>年女性勞動參與率皆高於全國水準，</w:t>
      </w:r>
      <w:r w:rsidRPr="00C83229">
        <w:rPr>
          <w:szCs w:val="28"/>
        </w:rPr>
        <w:t xml:space="preserve"> 2017</w:t>
      </w:r>
      <w:r w:rsidRPr="00C83229">
        <w:rPr>
          <w:szCs w:val="28"/>
        </w:rPr>
        <w:t>年女性勞動參與率為</w:t>
      </w:r>
      <w:r w:rsidRPr="00C83229">
        <w:rPr>
          <w:szCs w:val="28"/>
        </w:rPr>
        <w:t>51.2%</w:t>
      </w:r>
      <w:r w:rsidRPr="00C83229">
        <w:rPr>
          <w:szCs w:val="28"/>
        </w:rPr>
        <w:t>，較</w:t>
      </w:r>
      <w:r w:rsidRPr="00C83229">
        <w:rPr>
          <w:szCs w:val="28"/>
        </w:rPr>
        <w:t>2004</w:t>
      </w:r>
      <w:r w:rsidRPr="00C83229">
        <w:rPr>
          <w:szCs w:val="28"/>
        </w:rPr>
        <w:t>年增加</w:t>
      </w:r>
      <w:r w:rsidRPr="00C83229">
        <w:rPr>
          <w:szCs w:val="28"/>
        </w:rPr>
        <w:t>1.8</w:t>
      </w:r>
      <w:r w:rsidRPr="00C83229">
        <w:rPr>
          <w:szCs w:val="28"/>
        </w:rPr>
        <w:t>個百分點；但近兩年女性勞動參與率上升情形減緩，且有下降情形，可知連江縣女性勞動參與雖高於全國，但顯示仍有進步、推展的空間。婚姻狀況對全國而言，未婚比例逐年遞增，有偶比率則逐年遞減，而離婚與喪偶比例歷年皆差異不大，而連江</w:t>
      </w:r>
      <w:r w:rsidRPr="00C83229">
        <w:rPr>
          <w:szCs w:val="28"/>
        </w:rPr>
        <w:lastRenderedPageBreak/>
        <w:t>縣再婚與喪偶比例歷年皆都低於全國水準，而有偶與離婚比例則高於全國水</w:t>
      </w:r>
      <w:r w:rsidRPr="00C83229">
        <w:rPr>
          <w:szCs w:val="28"/>
        </w:rPr>
        <w:t>準。</w:t>
      </w:r>
      <w:r w:rsidRPr="00C83229">
        <w:rPr>
          <w:szCs w:val="28"/>
        </w:rPr>
        <w:t xml:space="preserve"> </w:t>
      </w:r>
    </w:p>
    <w:p w:rsidR="0074061A" w:rsidRPr="00C83229" w:rsidRDefault="00B468B1" w:rsidP="00C83229">
      <w:pPr>
        <w:spacing w:after="222" w:line="265" w:lineRule="auto"/>
        <w:ind w:left="-5"/>
        <w:jc w:val="both"/>
        <w:rPr>
          <w:b/>
          <w:szCs w:val="28"/>
        </w:rPr>
      </w:pPr>
      <w:r w:rsidRPr="00C83229">
        <w:rPr>
          <w:b/>
          <w:szCs w:val="28"/>
        </w:rPr>
        <w:t>參、近程工作目標</w:t>
      </w:r>
      <w:r w:rsidRPr="00C83229">
        <w:rPr>
          <w:b/>
          <w:szCs w:val="28"/>
        </w:rPr>
        <w:t xml:space="preserve">: </w:t>
      </w:r>
    </w:p>
    <w:p w:rsidR="0074061A" w:rsidRPr="00C83229" w:rsidRDefault="00B468B1" w:rsidP="00C83229">
      <w:pPr>
        <w:spacing w:after="0" w:line="388" w:lineRule="auto"/>
        <w:ind w:left="355"/>
        <w:jc w:val="both"/>
        <w:rPr>
          <w:szCs w:val="28"/>
        </w:rPr>
      </w:pPr>
      <w:r w:rsidRPr="00C83229">
        <w:rPr>
          <w:szCs w:val="28"/>
        </w:rPr>
        <w:t xml:space="preserve">  </w:t>
      </w:r>
      <w:r w:rsidRPr="00C83229">
        <w:rPr>
          <w:szCs w:val="28"/>
        </w:rPr>
        <w:t xml:space="preserve">  </w:t>
      </w:r>
      <w:r w:rsidRPr="00C83229">
        <w:rPr>
          <w:szCs w:val="28"/>
        </w:rPr>
        <w:t>透過</w:t>
      </w:r>
      <w:proofErr w:type="gramStart"/>
      <w:r w:rsidRPr="00C83229">
        <w:rPr>
          <w:szCs w:val="28"/>
        </w:rPr>
        <w:t>108</w:t>
      </w:r>
      <w:proofErr w:type="gramEnd"/>
      <w:r w:rsidRPr="00C83229">
        <w:rPr>
          <w:szCs w:val="28"/>
        </w:rPr>
        <w:t>年度連江縣婦女生活需</w:t>
      </w:r>
      <w:r w:rsidRPr="00C83229">
        <w:rPr>
          <w:szCs w:val="28"/>
        </w:rPr>
        <w:t>求調查委託研究了解不同特性之婦女生活現況、需求及期待，分析婦女對現有福利之了解程度及使用情形，作為現有福利措施宣導之參考並且</w:t>
      </w:r>
      <w:proofErr w:type="gramStart"/>
      <w:r w:rsidRPr="00C83229">
        <w:rPr>
          <w:szCs w:val="28"/>
        </w:rPr>
        <w:t>規畫適</w:t>
      </w:r>
      <w:proofErr w:type="gramEnd"/>
      <w:r w:rsidRPr="00C83229">
        <w:rPr>
          <w:szCs w:val="28"/>
        </w:rPr>
        <w:t>切、具可近性的福利方案及措施，達到以需求為基礎的婦女福利。提供多元且連續性的婦女服務網絡，透過婦女福利服務中心提供婦女福利服務，提供本縣婦女多元化、全方位的場所，充實精神生活並辦理婦女各項活動，以達婦女自我成長加強婦女團體資源及資訊之整合，結合民間參與力量，倡導性別平權，促進性別和諧，喚醒女性意識，激</w:t>
      </w:r>
      <w:r w:rsidRPr="00C83229">
        <w:rPr>
          <w:szCs w:val="28"/>
        </w:rPr>
        <w:t>發女性潛能，促進女性成長，鼓勵社會參與。</w:t>
      </w:r>
      <w:r w:rsidRPr="00C83229">
        <w:rPr>
          <w:szCs w:val="28"/>
        </w:rPr>
        <w:t xml:space="preserve"> </w:t>
      </w:r>
    </w:p>
    <w:p w:rsidR="0074061A" w:rsidRPr="00C83229" w:rsidRDefault="00B468B1" w:rsidP="00C83229">
      <w:pPr>
        <w:numPr>
          <w:ilvl w:val="0"/>
          <w:numId w:val="1"/>
        </w:numPr>
        <w:ind w:left="911" w:hanging="566"/>
        <w:jc w:val="both"/>
        <w:rPr>
          <w:szCs w:val="28"/>
        </w:rPr>
      </w:pPr>
      <w:r w:rsidRPr="00C83229">
        <w:rPr>
          <w:szCs w:val="28"/>
        </w:rPr>
        <w:t>透過辦理婦女權益宣導活動，喚起婦女</w:t>
      </w:r>
      <w:r w:rsidRPr="00C83229">
        <w:rPr>
          <w:szCs w:val="28"/>
        </w:rPr>
        <w:t>對於自身權益的了解與應用，促</w:t>
      </w:r>
    </w:p>
    <w:p w:rsidR="0074061A" w:rsidRPr="00C83229" w:rsidRDefault="00B468B1" w:rsidP="00C83229">
      <w:pPr>
        <w:ind w:left="934"/>
        <w:jc w:val="both"/>
        <w:rPr>
          <w:szCs w:val="28"/>
        </w:rPr>
      </w:pPr>
      <w:r w:rsidRPr="00C83229">
        <w:rPr>
          <w:szCs w:val="28"/>
        </w:rPr>
        <w:t>進婦女權益及福利的推動與落實。</w:t>
      </w:r>
      <w:r w:rsidRPr="00C83229">
        <w:rPr>
          <w:szCs w:val="28"/>
        </w:rPr>
        <w:t xml:space="preserve"> </w:t>
      </w:r>
    </w:p>
    <w:p w:rsidR="0074061A" w:rsidRPr="00C83229" w:rsidRDefault="00B468B1" w:rsidP="00C83229">
      <w:pPr>
        <w:numPr>
          <w:ilvl w:val="0"/>
          <w:numId w:val="1"/>
        </w:numPr>
        <w:ind w:left="911" w:hanging="566"/>
        <w:jc w:val="both"/>
        <w:rPr>
          <w:szCs w:val="28"/>
        </w:rPr>
      </w:pPr>
      <w:r w:rsidRPr="00C83229">
        <w:rPr>
          <w:szCs w:val="28"/>
        </w:rPr>
        <w:t>積極推動女性從事公共事務參與，培力女性領導者及建構聯繫平台整合</w:t>
      </w:r>
    </w:p>
    <w:p w:rsidR="0074061A" w:rsidRPr="00C83229" w:rsidRDefault="00B468B1" w:rsidP="00C83229">
      <w:pPr>
        <w:spacing w:after="2" w:line="388" w:lineRule="auto"/>
        <w:ind w:left="345" w:firstLine="564"/>
        <w:jc w:val="both"/>
        <w:rPr>
          <w:szCs w:val="28"/>
        </w:rPr>
      </w:pPr>
      <w:r w:rsidRPr="00C83229">
        <w:rPr>
          <w:szCs w:val="28"/>
        </w:rPr>
        <w:t>服務網絡，整合各方能量，促進婦女社會參與，遠到性別平權社會。三、</w:t>
      </w:r>
      <w:r w:rsidRPr="00C83229">
        <w:rPr>
          <w:rFonts w:ascii="新細明體" w:eastAsia="新細明體" w:hAnsi="新細明體" w:cs="新細明體"/>
          <w:szCs w:val="28"/>
        </w:rPr>
        <w:t xml:space="preserve"> </w:t>
      </w:r>
      <w:r w:rsidRPr="00C83229">
        <w:rPr>
          <w:szCs w:val="28"/>
        </w:rPr>
        <w:t>提倡性別平等，加強性別主流化工作，避免性別不平等及差別對待。</w:t>
      </w:r>
      <w:r w:rsidRPr="00C83229">
        <w:rPr>
          <w:szCs w:val="28"/>
        </w:rPr>
        <w:t xml:space="preserve"> </w:t>
      </w:r>
    </w:p>
    <w:p w:rsidR="0074061A" w:rsidRPr="00C83229" w:rsidRDefault="00B468B1" w:rsidP="00C83229">
      <w:pPr>
        <w:numPr>
          <w:ilvl w:val="0"/>
          <w:numId w:val="2"/>
        </w:numPr>
        <w:ind w:hanging="600"/>
        <w:jc w:val="both"/>
        <w:rPr>
          <w:szCs w:val="28"/>
        </w:rPr>
      </w:pPr>
      <w:r w:rsidRPr="00C83229">
        <w:rPr>
          <w:szCs w:val="28"/>
        </w:rPr>
        <w:t>培植社區力量著手，以社區為</w:t>
      </w:r>
      <w:proofErr w:type="gramStart"/>
      <w:r w:rsidRPr="00C83229">
        <w:rPr>
          <w:szCs w:val="28"/>
        </w:rPr>
        <w:t>中心堆動</w:t>
      </w:r>
      <w:proofErr w:type="gramEnd"/>
      <w:r w:rsidRPr="00C83229">
        <w:rPr>
          <w:szCs w:val="28"/>
        </w:rPr>
        <w:t>。</w:t>
      </w:r>
      <w:r w:rsidRPr="00C83229">
        <w:rPr>
          <w:szCs w:val="28"/>
        </w:rPr>
        <w:t xml:space="preserve"> </w:t>
      </w:r>
    </w:p>
    <w:p w:rsidR="0074061A" w:rsidRPr="00C83229" w:rsidRDefault="00B468B1" w:rsidP="00C83229">
      <w:pPr>
        <w:numPr>
          <w:ilvl w:val="0"/>
          <w:numId w:val="2"/>
        </w:numPr>
        <w:spacing w:after="97"/>
        <w:ind w:hanging="600"/>
        <w:jc w:val="both"/>
        <w:rPr>
          <w:szCs w:val="28"/>
        </w:rPr>
      </w:pPr>
      <w:proofErr w:type="gramStart"/>
      <w:r w:rsidRPr="00C83229">
        <w:rPr>
          <w:szCs w:val="28"/>
        </w:rPr>
        <w:t>加強堆動兒童</w:t>
      </w:r>
      <w:proofErr w:type="gramEnd"/>
      <w:r w:rsidRPr="00C83229">
        <w:rPr>
          <w:szCs w:val="28"/>
        </w:rPr>
        <w:t>課後照顧支援系統，減輕婦女母職角色之負擔。</w:t>
      </w:r>
      <w:r w:rsidRPr="00C83229">
        <w:rPr>
          <w:szCs w:val="28"/>
        </w:rPr>
        <w:t xml:space="preserve"> </w:t>
      </w:r>
    </w:p>
    <w:p w:rsidR="0074061A" w:rsidRPr="00C83229" w:rsidRDefault="00B468B1" w:rsidP="00C83229">
      <w:pPr>
        <w:numPr>
          <w:ilvl w:val="0"/>
          <w:numId w:val="2"/>
        </w:numPr>
        <w:ind w:hanging="600"/>
        <w:jc w:val="both"/>
        <w:rPr>
          <w:szCs w:val="28"/>
        </w:rPr>
      </w:pPr>
      <w:r w:rsidRPr="00C83229">
        <w:rPr>
          <w:szCs w:val="28"/>
        </w:rPr>
        <w:t>加強家長親職教育的多元訓練方式，落實性別主流化從小開始。</w:t>
      </w:r>
      <w:r w:rsidRPr="00C83229">
        <w:rPr>
          <w:szCs w:val="28"/>
        </w:rPr>
        <w:t xml:space="preserve"> </w:t>
      </w:r>
    </w:p>
    <w:p w:rsidR="0074061A" w:rsidRPr="00C83229" w:rsidRDefault="00B468B1" w:rsidP="00C83229">
      <w:pPr>
        <w:spacing w:after="502" w:line="240" w:lineRule="auto"/>
        <w:ind w:left="-6" w:hanging="11"/>
        <w:jc w:val="both"/>
        <w:rPr>
          <w:b/>
          <w:szCs w:val="28"/>
        </w:rPr>
      </w:pPr>
      <w:r w:rsidRPr="00C83229">
        <w:rPr>
          <w:b/>
          <w:szCs w:val="28"/>
        </w:rPr>
        <w:t>肆、遠程計畫目標</w:t>
      </w:r>
      <w:r w:rsidRPr="00C83229">
        <w:rPr>
          <w:b/>
          <w:szCs w:val="28"/>
        </w:rPr>
        <w:t xml:space="preserve"> </w:t>
      </w:r>
    </w:p>
    <w:p w:rsidR="0074061A" w:rsidRPr="00C83229" w:rsidRDefault="00B468B1" w:rsidP="00C83229">
      <w:pPr>
        <w:numPr>
          <w:ilvl w:val="0"/>
          <w:numId w:val="3"/>
        </w:numPr>
        <w:spacing w:line="389" w:lineRule="auto"/>
        <w:ind w:left="911" w:hanging="566"/>
        <w:jc w:val="both"/>
        <w:rPr>
          <w:szCs w:val="28"/>
        </w:rPr>
      </w:pPr>
      <w:r w:rsidRPr="00C83229">
        <w:rPr>
          <w:szCs w:val="28"/>
        </w:rPr>
        <w:t>維護婦女權益，保障基本福利，提供安全友善的環境，建置婦女福利中心平台有效宣傳活動訊息、服務內容及各項宣導、活動成分享並且推動女性可反應意見的留言板或信箱，讓決策單位在制訂前了解民意。</w:t>
      </w:r>
      <w:r w:rsidRPr="00C83229">
        <w:rPr>
          <w:szCs w:val="28"/>
        </w:rPr>
        <w:t xml:space="preserve"> </w:t>
      </w:r>
    </w:p>
    <w:p w:rsidR="0074061A" w:rsidRPr="00C83229" w:rsidRDefault="00B468B1" w:rsidP="00C83229">
      <w:pPr>
        <w:numPr>
          <w:ilvl w:val="0"/>
          <w:numId w:val="3"/>
        </w:numPr>
        <w:ind w:left="911" w:hanging="566"/>
        <w:jc w:val="both"/>
        <w:rPr>
          <w:szCs w:val="28"/>
        </w:rPr>
      </w:pPr>
      <w:r w:rsidRPr="00C83229">
        <w:rPr>
          <w:szCs w:val="28"/>
        </w:rPr>
        <w:lastRenderedPageBreak/>
        <w:t>運用多軌道服務輸送系統，減少離島的服務、資訊落差，</w:t>
      </w:r>
      <w:proofErr w:type="gramStart"/>
      <w:r w:rsidRPr="00C83229">
        <w:rPr>
          <w:szCs w:val="28"/>
        </w:rPr>
        <w:t>基層動社福</w:t>
      </w:r>
      <w:proofErr w:type="gramEnd"/>
      <w:r w:rsidRPr="00C83229">
        <w:rPr>
          <w:szCs w:val="28"/>
        </w:rPr>
        <w:t>單</w:t>
      </w:r>
    </w:p>
    <w:p w:rsidR="0074061A" w:rsidRPr="00C83229" w:rsidRDefault="00B468B1" w:rsidP="00C83229">
      <w:pPr>
        <w:ind w:left="934"/>
        <w:jc w:val="both"/>
        <w:rPr>
          <w:szCs w:val="28"/>
        </w:rPr>
      </w:pPr>
      <w:r w:rsidRPr="00C83229">
        <w:rPr>
          <w:szCs w:val="28"/>
        </w:rPr>
        <w:t>位有專業整合單位落實執行，否則流於形式。</w:t>
      </w:r>
      <w:r w:rsidR="00C83229">
        <w:rPr>
          <w:szCs w:val="28"/>
        </w:rPr>
        <w:t xml:space="preserve"> </w:t>
      </w:r>
      <w:bookmarkStart w:id="0" w:name="_GoBack"/>
      <w:bookmarkEnd w:id="0"/>
    </w:p>
    <w:p w:rsidR="0074061A" w:rsidRPr="00C83229" w:rsidRDefault="00B468B1" w:rsidP="00C83229">
      <w:pPr>
        <w:numPr>
          <w:ilvl w:val="0"/>
          <w:numId w:val="3"/>
        </w:numPr>
        <w:spacing w:after="2" w:line="388" w:lineRule="auto"/>
        <w:ind w:left="911" w:hanging="566"/>
        <w:jc w:val="both"/>
        <w:rPr>
          <w:szCs w:val="28"/>
        </w:rPr>
      </w:pPr>
      <w:r w:rsidRPr="00C83229">
        <w:rPr>
          <w:szCs w:val="28"/>
        </w:rPr>
        <w:t>發展互助照顧模式，減少隱形照顧議題，建構「產官學」的合作團隊研發創新性的照顧</w:t>
      </w:r>
      <w:proofErr w:type="gramStart"/>
      <w:r w:rsidRPr="00C83229">
        <w:rPr>
          <w:szCs w:val="28"/>
        </w:rPr>
        <w:t>模祖，</w:t>
      </w:r>
      <w:proofErr w:type="gramEnd"/>
      <w:r w:rsidRPr="00C83229">
        <w:rPr>
          <w:szCs w:val="28"/>
        </w:rPr>
        <w:t>已使照顧者得以喘息，運用科技導入、透過輔具</w:t>
      </w:r>
    </w:p>
    <w:p w:rsidR="0074061A" w:rsidRPr="00C83229" w:rsidRDefault="00B468B1" w:rsidP="00C83229">
      <w:pPr>
        <w:spacing w:after="335"/>
        <w:ind w:left="934"/>
        <w:jc w:val="both"/>
        <w:rPr>
          <w:szCs w:val="28"/>
        </w:rPr>
      </w:pPr>
      <w:r w:rsidRPr="00C83229">
        <w:rPr>
          <w:szCs w:val="28"/>
        </w:rPr>
        <w:t>運用，使照顧者與被照顧者能夠得到協助。</w:t>
      </w:r>
      <w:r w:rsidRPr="00C83229">
        <w:rPr>
          <w:szCs w:val="28"/>
        </w:rPr>
        <w:t xml:space="preserve"> </w:t>
      </w:r>
    </w:p>
    <w:p w:rsidR="0074061A" w:rsidRPr="00C83229" w:rsidRDefault="00B468B1" w:rsidP="00C83229">
      <w:pPr>
        <w:spacing w:after="235"/>
        <w:ind w:left="10"/>
        <w:jc w:val="both"/>
        <w:rPr>
          <w:szCs w:val="28"/>
        </w:rPr>
      </w:pPr>
      <w:r w:rsidRPr="00C83229">
        <w:rPr>
          <w:szCs w:val="28"/>
        </w:rPr>
        <w:t>伍、</w:t>
      </w:r>
      <w:r w:rsidRPr="00C83229">
        <w:rPr>
          <w:szCs w:val="28"/>
        </w:rPr>
        <w:t>本計畫如有未盡事宜得隨時修正，並於最近一次本</w:t>
      </w:r>
      <w:r w:rsidRPr="00C83229">
        <w:rPr>
          <w:szCs w:val="28"/>
        </w:rPr>
        <w:t>縣性別平等委員會開會</w:t>
      </w:r>
    </w:p>
    <w:p w:rsidR="0074061A" w:rsidRPr="00C83229" w:rsidRDefault="00B468B1" w:rsidP="00C83229">
      <w:pPr>
        <w:ind w:left="651"/>
        <w:jc w:val="both"/>
        <w:rPr>
          <w:szCs w:val="28"/>
        </w:rPr>
      </w:pPr>
      <w:r w:rsidRPr="00C83229">
        <w:rPr>
          <w:szCs w:val="28"/>
        </w:rPr>
        <w:t>期程提交審議。</w:t>
      </w:r>
      <w:r w:rsidRPr="00C83229">
        <w:rPr>
          <w:szCs w:val="28"/>
        </w:rPr>
        <w:t xml:space="preserve"> </w:t>
      </w:r>
    </w:p>
    <w:p w:rsidR="0074061A" w:rsidRPr="00C83229" w:rsidRDefault="00B468B1" w:rsidP="00C83229">
      <w:pPr>
        <w:spacing w:after="198"/>
        <w:ind w:left="360" w:firstLine="0"/>
        <w:jc w:val="both"/>
        <w:rPr>
          <w:szCs w:val="28"/>
        </w:rPr>
      </w:pPr>
      <w:r w:rsidRPr="00C83229">
        <w:rPr>
          <w:szCs w:val="28"/>
        </w:rPr>
        <w:t xml:space="preserve"> </w:t>
      </w:r>
    </w:p>
    <w:p w:rsidR="0074061A" w:rsidRPr="00C83229" w:rsidRDefault="00B468B1" w:rsidP="00C83229">
      <w:pPr>
        <w:spacing w:after="0"/>
        <w:ind w:left="360" w:firstLine="0"/>
        <w:jc w:val="both"/>
        <w:rPr>
          <w:szCs w:val="28"/>
        </w:rPr>
      </w:pPr>
      <w:r w:rsidRPr="00C83229">
        <w:rPr>
          <w:szCs w:val="28"/>
        </w:rPr>
        <w:t xml:space="preserve"> </w:t>
      </w:r>
    </w:p>
    <w:sectPr w:rsidR="0074061A" w:rsidRPr="00C83229">
      <w:footerReference w:type="even" r:id="rId7"/>
      <w:footerReference w:type="default" r:id="rId8"/>
      <w:footerReference w:type="first" r:id="rId9"/>
      <w:pgSz w:w="11906" w:h="16838"/>
      <w:pgMar w:top="1405" w:right="1073" w:bottom="1673" w:left="1078" w:header="720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B1" w:rsidRDefault="00B468B1">
      <w:pPr>
        <w:spacing w:after="0" w:line="240" w:lineRule="auto"/>
      </w:pPr>
      <w:r>
        <w:separator/>
      </w:r>
    </w:p>
  </w:endnote>
  <w:endnote w:type="continuationSeparator" w:id="0">
    <w:p w:rsidR="00B468B1" w:rsidRDefault="00B4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61A" w:rsidRDefault="00B468B1">
    <w:pPr>
      <w:spacing w:after="0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4"/>
      </w:rPr>
      <w:t>1</w:t>
    </w:r>
    <w:r>
      <w:rPr>
        <w:rFonts w:ascii="Calibri" w:eastAsia="Calibri" w:hAnsi="Calibri" w:cs="Calibri"/>
        <w:sz w:val="24"/>
      </w:rPr>
      <w:fldChar w:fldCharType="end"/>
    </w:r>
    <w:r>
      <w:rPr>
        <w:rFonts w:ascii="Calibri" w:eastAsia="Calibri" w:hAnsi="Calibri" w:cs="Calibri"/>
        <w:sz w:val="24"/>
      </w:rPr>
      <w:t xml:space="preserve"> </w:t>
    </w:r>
  </w:p>
  <w:p w:rsidR="0074061A" w:rsidRDefault="00B468B1">
    <w:pPr>
      <w:spacing w:after="0"/>
      <w:ind w:left="45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61A" w:rsidRDefault="00B468B1">
    <w:pPr>
      <w:spacing w:after="0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3229" w:rsidRPr="00C83229">
      <w:rPr>
        <w:rFonts w:ascii="Calibri" w:eastAsia="Calibri" w:hAnsi="Calibri" w:cs="Calibri"/>
        <w:noProof/>
        <w:sz w:val="24"/>
      </w:rPr>
      <w:t>3</w:t>
    </w:r>
    <w:r>
      <w:rPr>
        <w:rFonts w:ascii="Calibri" w:eastAsia="Calibri" w:hAnsi="Calibri" w:cs="Calibri"/>
        <w:sz w:val="24"/>
      </w:rPr>
      <w:fldChar w:fldCharType="end"/>
    </w:r>
    <w:r>
      <w:rPr>
        <w:rFonts w:ascii="Calibri" w:eastAsia="Calibri" w:hAnsi="Calibri" w:cs="Calibri"/>
        <w:sz w:val="24"/>
      </w:rPr>
      <w:t xml:space="preserve"> </w:t>
    </w:r>
  </w:p>
  <w:p w:rsidR="0074061A" w:rsidRDefault="00B468B1">
    <w:pPr>
      <w:spacing w:after="0"/>
      <w:ind w:left="45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61A" w:rsidRDefault="00B468B1">
    <w:pPr>
      <w:spacing w:after="0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4"/>
      </w:rPr>
      <w:t>1</w:t>
    </w:r>
    <w:r>
      <w:rPr>
        <w:rFonts w:ascii="Calibri" w:eastAsia="Calibri" w:hAnsi="Calibri" w:cs="Calibri"/>
        <w:sz w:val="24"/>
      </w:rPr>
      <w:fldChar w:fldCharType="end"/>
    </w:r>
    <w:r>
      <w:rPr>
        <w:rFonts w:ascii="Calibri" w:eastAsia="Calibri" w:hAnsi="Calibri" w:cs="Calibri"/>
        <w:sz w:val="24"/>
      </w:rPr>
      <w:t xml:space="preserve"> </w:t>
    </w:r>
  </w:p>
  <w:p w:rsidR="0074061A" w:rsidRDefault="00B468B1">
    <w:pPr>
      <w:spacing w:after="0"/>
      <w:ind w:left="45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B1" w:rsidRDefault="00B468B1">
      <w:pPr>
        <w:spacing w:after="0" w:line="240" w:lineRule="auto"/>
      </w:pPr>
      <w:r>
        <w:separator/>
      </w:r>
    </w:p>
  </w:footnote>
  <w:footnote w:type="continuationSeparator" w:id="0">
    <w:p w:rsidR="00B468B1" w:rsidRDefault="00B46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6A74"/>
    <w:multiLevelType w:val="hybridMultilevel"/>
    <w:tmpl w:val="631CB71A"/>
    <w:lvl w:ilvl="0" w:tplc="F6C6CACA">
      <w:start w:val="1"/>
      <w:numFmt w:val="ideographDigital"/>
      <w:lvlText w:val="%1、"/>
      <w:lvlJc w:val="left"/>
      <w:pPr>
        <w:ind w:left="91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CAAB998">
      <w:start w:val="1"/>
      <w:numFmt w:val="lowerLetter"/>
      <w:lvlText w:val="%2"/>
      <w:lvlJc w:val="left"/>
      <w:pPr>
        <w:ind w:left="143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AC641D0E">
      <w:start w:val="1"/>
      <w:numFmt w:val="lowerRoman"/>
      <w:lvlText w:val="%3"/>
      <w:lvlJc w:val="left"/>
      <w:pPr>
        <w:ind w:left="215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A82EC94">
      <w:start w:val="1"/>
      <w:numFmt w:val="decimal"/>
      <w:lvlText w:val="%4"/>
      <w:lvlJc w:val="left"/>
      <w:pPr>
        <w:ind w:left="287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21A64B8">
      <w:start w:val="1"/>
      <w:numFmt w:val="lowerLetter"/>
      <w:lvlText w:val="%5"/>
      <w:lvlJc w:val="left"/>
      <w:pPr>
        <w:ind w:left="359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7E666C10">
      <w:start w:val="1"/>
      <w:numFmt w:val="lowerRoman"/>
      <w:lvlText w:val="%6"/>
      <w:lvlJc w:val="left"/>
      <w:pPr>
        <w:ind w:left="431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B6ABAD6">
      <w:start w:val="1"/>
      <w:numFmt w:val="decimal"/>
      <w:lvlText w:val="%7"/>
      <w:lvlJc w:val="left"/>
      <w:pPr>
        <w:ind w:left="503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1720AAE">
      <w:start w:val="1"/>
      <w:numFmt w:val="lowerLetter"/>
      <w:lvlText w:val="%8"/>
      <w:lvlJc w:val="left"/>
      <w:pPr>
        <w:ind w:left="575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B6EA678">
      <w:start w:val="1"/>
      <w:numFmt w:val="lowerRoman"/>
      <w:lvlText w:val="%9"/>
      <w:lvlJc w:val="left"/>
      <w:pPr>
        <w:ind w:left="647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C8560A"/>
    <w:multiLevelType w:val="hybridMultilevel"/>
    <w:tmpl w:val="2DF68D0E"/>
    <w:lvl w:ilvl="0" w:tplc="C7F80F0C">
      <w:start w:val="1"/>
      <w:numFmt w:val="ideographDigital"/>
      <w:lvlText w:val="%1、"/>
      <w:lvlJc w:val="left"/>
      <w:pPr>
        <w:ind w:left="91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04E0D6">
      <w:start w:val="1"/>
      <w:numFmt w:val="lowerLetter"/>
      <w:lvlText w:val="%2"/>
      <w:lvlJc w:val="left"/>
      <w:pPr>
        <w:ind w:left="143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262B52">
      <w:start w:val="1"/>
      <w:numFmt w:val="lowerRoman"/>
      <w:lvlText w:val="%3"/>
      <w:lvlJc w:val="left"/>
      <w:pPr>
        <w:ind w:left="215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AAF530">
      <w:start w:val="1"/>
      <w:numFmt w:val="decimal"/>
      <w:lvlText w:val="%4"/>
      <w:lvlJc w:val="left"/>
      <w:pPr>
        <w:ind w:left="287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9894CC">
      <w:start w:val="1"/>
      <w:numFmt w:val="lowerLetter"/>
      <w:lvlText w:val="%5"/>
      <w:lvlJc w:val="left"/>
      <w:pPr>
        <w:ind w:left="359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90E4EC">
      <w:start w:val="1"/>
      <w:numFmt w:val="lowerRoman"/>
      <w:lvlText w:val="%6"/>
      <w:lvlJc w:val="left"/>
      <w:pPr>
        <w:ind w:left="431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5A6374">
      <w:start w:val="1"/>
      <w:numFmt w:val="decimal"/>
      <w:lvlText w:val="%7"/>
      <w:lvlJc w:val="left"/>
      <w:pPr>
        <w:ind w:left="503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521D26">
      <w:start w:val="1"/>
      <w:numFmt w:val="lowerLetter"/>
      <w:lvlText w:val="%8"/>
      <w:lvlJc w:val="left"/>
      <w:pPr>
        <w:ind w:left="575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841DBA">
      <w:start w:val="1"/>
      <w:numFmt w:val="lowerRoman"/>
      <w:lvlText w:val="%9"/>
      <w:lvlJc w:val="left"/>
      <w:pPr>
        <w:ind w:left="647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7F5F91"/>
    <w:multiLevelType w:val="hybridMultilevel"/>
    <w:tmpl w:val="EC340CDE"/>
    <w:lvl w:ilvl="0" w:tplc="0CEE54F8">
      <w:start w:val="4"/>
      <w:numFmt w:val="ideographDigital"/>
      <w:lvlText w:val="%1、"/>
      <w:lvlJc w:val="left"/>
      <w:pPr>
        <w:ind w:left="94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DE3624">
      <w:start w:val="1"/>
      <w:numFmt w:val="lowerLetter"/>
      <w:lvlText w:val="%2"/>
      <w:lvlJc w:val="left"/>
      <w:pPr>
        <w:ind w:left="14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46FDBA">
      <w:start w:val="1"/>
      <w:numFmt w:val="lowerRoman"/>
      <w:lvlText w:val="%3"/>
      <w:lvlJc w:val="left"/>
      <w:pPr>
        <w:ind w:left="21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CEA026">
      <w:start w:val="1"/>
      <w:numFmt w:val="decimal"/>
      <w:lvlText w:val="%4"/>
      <w:lvlJc w:val="left"/>
      <w:pPr>
        <w:ind w:left="28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96EF82">
      <w:start w:val="1"/>
      <w:numFmt w:val="lowerLetter"/>
      <w:lvlText w:val="%5"/>
      <w:lvlJc w:val="left"/>
      <w:pPr>
        <w:ind w:left="36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56E1B6">
      <w:start w:val="1"/>
      <w:numFmt w:val="lowerRoman"/>
      <w:lvlText w:val="%6"/>
      <w:lvlJc w:val="left"/>
      <w:pPr>
        <w:ind w:left="43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70A0C6">
      <w:start w:val="1"/>
      <w:numFmt w:val="decimal"/>
      <w:lvlText w:val="%7"/>
      <w:lvlJc w:val="left"/>
      <w:pPr>
        <w:ind w:left="50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6E8130">
      <w:start w:val="1"/>
      <w:numFmt w:val="lowerLetter"/>
      <w:lvlText w:val="%8"/>
      <w:lvlJc w:val="left"/>
      <w:pPr>
        <w:ind w:left="57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B46EC6">
      <w:start w:val="1"/>
      <w:numFmt w:val="lowerRoman"/>
      <w:lvlText w:val="%9"/>
      <w:lvlJc w:val="left"/>
      <w:pPr>
        <w:ind w:left="6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1A"/>
    <w:rsid w:val="0074061A"/>
    <w:rsid w:val="00B468B1"/>
    <w:rsid w:val="00C8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FE159"/>
  <w15:docId w15:val="{E3A0DF94-1308-4F3C-A2CF-9B0EED27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7" w:line="259" w:lineRule="auto"/>
      <w:ind w:left="250" w:hanging="1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3229"/>
    <w:rPr>
      <w:rFonts w:ascii="標楷體" w:eastAsia="標楷體" w:hAnsi="標楷體" w:cs="標楷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連江縣105年婦女福利年度施政計畫</dc:title>
  <dc:subject/>
  <dc:creator>SOC82316</dc:creator>
  <cp:keywords/>
  <cp:lastModifiedBy>瑞雲</cp:lastModifiedBy>
  <cp:revision>2</cp:revision>
  <dcterms:created xsi:type="dcterms:W3CDTF">2021-06-23T08:43:00Z</dcterms:created>
  <dcterms:modified xsi:type="dcterms:W3CDTF">2021-06-23T08:43:00Z</dcterms:modified>
</cp:coreProperties>
</file>