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E" w:rsidRPr="00A16956" w:rsidRDefault="00B753F9" w:rsidP="000A016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政府</w:t>
      </w:r>
      <w:r w:rsidR="00E972BE" w:rsidRPr="00A16956">
        <w:rPr>
          <w:rFonts w:ascii="標楷體" w:eastAsia="標楷體" w:hAnsi="標楷體" w:hint="eastAsia"/>
          <w:sz w:val="40"/>
          <w:szCs w:val="40"/>
        </w:rPr>
        <w:t>會計憑證保管</w:t>
      </w:r>
      <w:r w:rsidR="00B43F22">
        <w:rPr>
          <w:rFonts w:ascii="標楷體" w:eastAsia="標楷體" w:hAnsi="標楷體" w:hint="eastAsia"/>
          <w:sz w:val="40"/>
          <w:szCs w:val="40"/>
        </w:rPr>
        <w:t>調案</w:t>
      </w:r>
      <w:r w:rsidR="00E972BE" w:rsidRPr="00A16956">
        <w:rPr>
          <w:rFonts w:ascii="標楷體" w:eastAsia="標楷體" w:hAnsi="標楷體" w:hint="eastAsia"/>
          <w:sz w:val="40"/>
          <w:szCs w:val="40"/>
        </w:rPr>
        <w:t>及銷毀應行注意事項</w:t>
      </w:r>
    </w:p>
    <w:p w:rsidR="00E972BE" w:rsidRPr="008B798C" w:rsidRDefault="00CD7E53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政府及其所屬機關（構）、學校（以下簡稱各機關）會計憑證之保管、調案及銷毀，依本注意事項</w:t>
      </w:r>
      <w:r w:rsidRPr="00897200">
        <w:rPr>
          <w:rFonts w:ascii="標楷體" w:eastAsia="標楷體" w:hAnsi="標楷體" w:hint="eastAsia"/>
          <w:sz w:val="28"/>
          <w:szCs w:val="28"/>
        </w:rPr>
        <w:t>規定</w:t>
      </w:r>
      <w:r w:rsidRPr="00001B9A">
        <w:rPr>
          <w:rFonts w:ascii="標楷體" w:eastAsia="標楷體" w:hAnsi="標楷體" w:hint="eastAsia"/>
          <w:sz w:val="28"/>
          <w:szCs w:val="28"/>
        </w:rPr>
        <w:t>辦理。</w:t>
      </w:r>
    </w:p>
    <w:p w:rsidR="009B79CB" w:rsidRPr="00353AA2" w:rsidRDefault="00CD7E53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本注意事項所</w:t>
      </w:r>
      <w:r w:rsidRPr="00897200">
        <w:rPr>
          <w:rFonts w:ascii="標楷體" w:eastAsia="標楷體" w:hAnsi="標楷體" w:hint="eastAsia"/>
          <w:sz w:val="28"/>
          <w:szCs w:val="28"/>
        </w:rPr>
        <w:t>定</w:t>
      </w:r>
      <w:r w:rsidRPr="00001B9A">
        <w:rPr>
          <w:rFonts w:ascii="標楷體" w:eastAsia="標楷體" w:hAnsi="標楷體" w:hint="eastAsia"/>
          <w:sz w:val="28"/>
          <w:szCs w:val="28"/>
        </w:rPr>
        <w:t>會計憑證</w:t>
      </w:r>
      <w:r w:rsidRPr="00897200">
        <w:rPr>
          <w:rFonts w:ascii="標楷體" w:eastAsia="標楷體" w:hAnsi="標楷體" w:hint="eastAsia"/>
          <w:sz w:val="28"/>
          <w:szCs w:val="28"/>
        </w:rPr>
        <w:t>，分為原始憑證及記帳憑證；原始憑證及記帳憑證之種類、定義，依會計法相關規定。</w:t>
      </w:r>
    </w:p>
    <w:p w:rsidR="009B79CB" w:rsidRDefault="00CD7E53" w:rsidP="009B79CB">
      <w:pPr>
        <w:pStyle w:val="ListParagraph"/>
        <w:spacing w:line="400" w:lineRule="exact"/>
        <w:ind w:leftChars="0" w:left="57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F090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各機關</w:t>
      </w:r>
      <w:r w:rsidRPr="00001B9A">
        <w:rPr>
          <w:rFonts w:ascii="標楷體" w:eastAsia="標楷體" w:hAnsi="標楷體" w:hint="eastAsia"/>
          <w:sz w:val="28"/>
          <w:szCs w:val="28"/>
        </w:rPr>
        <w:t>會計憑證，</w:t>
      </w:r>
      <w:r>
        <w:rPr>
          <w:rFonts w:ascii="標楷體" w:eastAsia="標楷體" w:hAnsi="標楷體" w:hint="eastAsia"/>
          <w:sz w:val="28"/>
          <w:szCs w:val="28"/>
        </w:rPr>
        <w:t>未依會計法第一百零九條規定移交所在機關管理檔案人員（以下簡稱機關檔案人員）保管前，</w:t>
      </w:r>
      <w:r w:rsidRPr="00001B9A">
        <w:rPr>
          <w:rFonts w:ascii="標楷體" w:eastAsia="標楷體" w:hAnsi="標楷體" w:hint="eastAsia"/>
          <w:sz w:val="28"/>
          <w:szCs w:val="28"/>
        </w:rPr>
        <w:t>主辦會計人員應指派專人（以下簡稱會計管理人員）處理之。</w:t>
      </w:r>
    </w:p>
    <w:p w:rsidR="00B753F9" w:rsidRDefault="00CD7E53" w:rsidP="009B79CB">
      <w:pPr>
        <w:pStyle w:val="ListParagraph"/>
        <w:spacing w:line="400" w:lineRule="exact"/>
        <w:ind w:leftChars="0" w:left="57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FF0909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機關</w:t>
      </w:r>
      <w:r w:rsidRPr="00001B9A">
        <w:rPr>
          <w:rFonts w:ascii="標楷體" w:eastAsia="標楷體" w:hAnsi="標楷體" w:cs="標楷體" w:hint="eastAsia"/>
          <w:sz w:val="28"/>
          <w:szCs w:val="28"/>
        </w:rPr>
        <w:t>檔案人員應依檔案法相關規定管理移交後之會計憑證，並注意與主（會）計單位之權責分工</w:t>
      </w:r>
      <w:r w:rsidRPr="00001B9A">
        <w:rPr>
          <w:rFonts w:ascii="標楷體" w:eastAsia="標楷體" w:hAnsi="標楷體" w:hint="eastAsia"/>
          <w:sz w:val="28"/>
          <w:szCs w:val="28"/>
        </w:rPr>
        <w:t>，以確保憑證之安全</w:t>
      </w:r>
      <w:r w:rsidRPr="00001B9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753F9" w:rsidRPr="00A00BDE" w:rsidRDefault="00CD7E53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各機關之原始憑證，應標註傳票編號，附同傳票，依照類別及日期號數之順序，彙訂成冊，另加封面，並於封面詳記類別</w:t>
      </w:r>
      <w:r>
        <w:rPr>
          <w:rFonts w:ascii="標楷體" w:eastAsia="標楷體" w:hAnsi="標楷體" w:hint="eastAsia"/>
          <w:sz w:val="28"/>
          <w:szCs w:val="28"/>
        </w:rPr>
        <w:t>與起訖之年、月、日</w:t>
      </w:r>
      <w:r w:rsidRPr="00001B9A">
        <w:rPr>
          <w:rFonts w:ascii="標楷體" w:eastAsia="標楷體" w:hAnsi="標楷體" w:hint="eastAsia"/>
          <w:sz w:val="28"/>
          <w:szCs w:val="28"/>
        </w:rPr>
        <w:t>及號數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001B9A">
        <w:rPr>
          <w:rFonts w:ascii="標楷體" w:eastAsia="標楷體" w:hAnsi="標楷體" w:hint="eastAsia"/>
          <w:sz w:val="28"/>
          <w:szCs w:val="28"/>
        </w:rPr>
        <w:t>。下列各款之原始憑證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Pr="00001B9A">
        <w:rPr>
          <w:rFonts w:ascii="標楷體" w:eastAsia="標楷體" w:hAnsi="標楷體" w:hint="eastAsia"/>
          <w:sz w:val="28"/>
          <w:szCs w:val="28"/>
        </w:rPr>
        <w:t>附入傳票保管</w:t>
      </w:r>
      <w:r>
        <w:rPr>
          <w:rFonts w:ascii="標楷體" w:eastAsia="標楷體" w:hAnsi="標楷體" w:hint="eastAsia"/>
          <w:sz w:val="28"/>
          <w:szCs w:val="28"/>
        </w:rPr>
        <w:t>者，</w:t>
      </w:r>
      <w:r w:rsidRPr="00001B9A">
        <w:rPr>
          <w:rFonts w:ascii="標楷體" w:eastAsia="標楷體" w:hAnsi="標楷體" w:hint="eastAsia"/>
          <w:sz w:val="28"/>
          <w:szCs w:val="28"/>
        </w:rPr>
        <w:t>仍應於冊內註明其保管處所及其檔案編號，或其他便於查對之事實：</w:t>
      </w:r>
    </w:p>
    <w:p w:rsidR="00B753F9" w:rsidRPr="003E71A2" w:rsidRDefault="00B753F9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各種契約。</w:t>
      </w:r>
    </w:p>
    <w:p w:rsidR="00B753F9" w:rsidRPr="00106D4C" w:rsidRDefault="00B753F9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106D4C">
        <w:rPr>
          <w:rFonts w:ascii="標楷體" w:eastAsia="標楷體" w:hAnsi="標楷體" w:hint="eastAsia"/>
          <w:sz w:val="28"/>
          <w:szCs w:val="28"/>
        </w:rPr>
        <w:t>應另歸檔案之文書及另行訂冊之報告書表。</w:t>
      </w:r>
    </w:p>
    <w:p w:rsidR="00B753F9" w:rsidRPr="00106D4C" w:rsidRDefault="00B753F9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106D4C">
        <w:rPr>
          <w:rFonts w:ascii="標楷體" w:eastAsia="標楷體" w:hAnsi="標楷體" w:hint="eastAsia"/>
          <w:sz w:val="28"/>
          <w:szCs w:val="28"/>
        </w:rPr>
        <w:t>應留待將來使用之存取或保管現金、票據、證券及財物之憑證。</w:t>
      </w:r>
    </w:p>
    <w:p w:rsidR="00B753F9" w:rsidRDefault="00B753F9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106D4C">
        <w:rPr>
          <w:rFonts w:ascii="標楷體" w:eastAsia="標楷體" w:hAnsi="標楷體" w:hint="eastAsia"/>
          <w:sz w:val="28"/>
          <w:szCs w:val="28"/>
        </w:rPr>
        <w:t>應轉送其他機關之文件。</w:t>
      </w:r>
    </w:p>
    <w:p w:rsidR="00E972BE" w:rsidRPr="008B798C" w:rsidRDefault="00B753F9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106D4C">
        <w:rPr>
          <w:rFonts w:ascii="標楷體" w:eastAsia="標楷體" w:hAnsi="標楷體" w:hint="eastAsia"/>
          <w:sz w:val="28"/>
          <w:szCs w:val="28"/>
        </w:rPr>
        <w:t>其他事實上不能或不應黏貼訂冊之文件。</w:t>
      </w:r>
    </w:p>
    <w:p w:rsidR="00B753F9" w:rsidRDefault="00B753F9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已裝訂成冊之會計憑證，均應分年編號保存，並製目次</w:t>
      </w:r>
      <w:r w:rsidRPr="00353AA2">
        <w:rPr>
          <w:rFonts w:ascii="標楷體" w:eastAsia="標楷體" w:hAnsi="標楷體" w:hint="eastAsia"/>
          <w:sz w:val="28"/>
          <w:szCs w:val="28"/>
        </w:rPr>
        <w:t>備查。</w:t>
      </w:r>
    </w:p>
    <w:p w:rsidR="00E972BE" w:rsidRPr="008B798C" w:rsidRDefault="00CD7E53" w:rsidP="00B753F9">
      <w:pPr>
        <w:pStyle w:val="ListParagraph"/>
        <w:spacing w:line="400" w:lineRule="exact"/>
        <w:ind w:leftChars="0" w:left="5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F0909">
        <w:rPr>
          <w:rFonts w:ascii="標楷體" w:eastAsia="標楷體" w:hAnsi="標楷體" w:hint="eastAsia"/>
          <w:sz w:val="28"/>
          <w:szCs w:val="28"/>
        </w:rPr>
        <w:t xml:space="preserve">  </w:t>
      </w:r>
      <w:r w:rsidR="00B753F9" w:rsidRPr="00353AA2">
        <w:rPr>
          <w:rFonts w:ascii="標楷體" w:eastAsia="標楷體" w:hAnsi="標楷體" w:hint="eastAsia"/>
          <w:sz w:val="28"/>
          <w:szCs w:val="28"/>
        </w:rPr>
        <w:t>各機關如將已裝訂成冊之會計憑證裝箱保管者，均應於箱外載明其所屬年度、類別及裝箱序號，並登載序號於前項目</w:t>
      </w:r>
      <w:r w:rsidR="00B753F9">
        <w:rPr>
          <w:rFonts w:ascii="標楷體" w:eastAsia="標楷體" w:hAnsi="標楷體" w:hint="eastAsia"/>
          <w:sz w:val="28"/>
          <w:szCs w:val="28"/>
        </w:rPr>
        <w:t>次</w:t>
      </w:r>
      <w:r w:rsidR="00B753F9" w:rsidRPr="00353AA2">
        <w:rPr>
          <w:rFonts w:ascii="標楷體" w:eastAsia="標楷體" w:hAnsi="標楷體" w:hint="eastAsia"/>
          <w:sz w:val="28"/>
          <w:szCs w:val="28"/>
        </w:rPr>
        <w:t>。</w:t>
      </w:r>
    </w:p>
    <w:p w:rsidR="00335E87" w:rsidRPr="00833593" w:rsidRDefault="00CD7E53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cs="標楷體" w:hint="eastAsia"/>
          <w:sz w:val="28"/>
          <w:szCs w:val="28"/>
          <w:u w:val="single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各機關會計憑證</w:t>
      </w:r>
      <w:r w:rsidRPr="00B017AD">
        <w:rPr>
          <w:rFonts w:ascii="標楷體" w:eastAsia="標楷體" w:hAnsi="標楷體" w:hint="eastAsia"/>
          <w:sz w:val="28"/>
          <w:szCs w:val="28"/>
        </w:rPr>
        <w:t>未依會計法規定移交</w:t>
      </w:r>
      <w:r>
        <w:rPr>
          <w:rFonts w:ascii="標楷體" w:eastAsia="標楷體" w:hAnsi="標楷體" w:hint="eastAsia"/>
          <w:sz w:val="28"/>
          <w:szCs w:val="28"/>
        </w:rPr>
        <w:t>機關檔案人員</w:t>
      </w:r>
      <w:r w:rsidRPr="00B017AD">
        <w:rPr>
          <w:rFonts w:ascii="標楷體" w:eastAsia="標楷體" w:hAnsi="標楷體" w:hint="eastAsia"/>
          <w:sz w:val="28"/>
          <w:szCs w:val="28"/>
        </w:rPr>
        <w:t>前，其保管</w:t>
      </w:r>
      <w:r w:rsidRPr="00001B9A">
        <w:rPr>
          <w:rFonts w:ascii="標楷體" w:eastAsia="標楷體" w:hAnsi="標楷體" w:cs="標楷體" w:hint="eastAsia"/>
          <w:sz w:val="28"/>
          <w:szCs w:val="28"/>
        </w:rPr>
        <w:t>應注意下列事項：</w:t>
      </w:r>
    </w:p>
    <w:p w:rsidR="00335E87" w:rsidRPr="00833593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應本於統一規劃、集中管理為原則，並具備適當保管之環境。</w:t>
      </w:r>
    </w:p>
    <w:p w:rsidR="00335E87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非為各機關之會計管理人員，不得進出會計憑證之保管處所。但因業務需要經主辦會計人員之同意，並由會計管理人員陪同進出者，不在此限。</w:t>
      </w:r>
    </w:p>
    <w:p w:rsidR="009B79CB" w:rsidRDefault="00CD7E53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各機關會計憑證</w:t>
      </w:r>
      <w:r w:rsidRPr="00B017AD">
        <w:rPr>
          <w:rFonts w:ascii="標楷體" w:eastAsia="標楷體" w:hAnsi="標楷體" w:hint="eastAsia"/>
          <w:sz w:val="28"/>
          <w:szCs w:val="28"/>
        </w:rPr>
        <w:t>之保管</w:t>
      </w:r>
      <w:r w:rsidRPr="00001B9A">
        <w:rPr>
          <w:rFonts w:ascii="標楷體" w:eastAsia="標楷體" w:hAnsi="標楷體" w:hint="eastAsia"/>
          <w:sz w:val="28"/>
          <w:szCs w:val="28"/>
        </w:rPr>
        <w:t>，遇有遺失、損毀等情事時，應注意下列事項：</w:t>
      </w:r>
    </w:p>
    <w:p w:rsidR="00CD7E53" w:rsidRPr="00001B9A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各機關應即陳報該管上級主計機構</w:t>
      </w:r>
      <w:r w:rsidRPr="00B017AD">
        <w:rPr>
          <w:rFonts w:ascii="標楷體" w:eastAsia="標楷體" w:hAnsi="標楷體" w:hint="eastAsia"/>
          <w:sz w:val="28"/>
          <w:szCs w:val="28"/>
        </w:rPr>
        <w:t>與</w:t>
      </w:r>
      <w:r w:rsidRPr="00001B9A">
        <w:rPr>
          <w:rFonts w:ascii="標楷體" w:eastAsia="標楷體" w:hAnsi="標楷體" w:hint="eastAsia"/>
          <w:sz w:val="28"/>
          <w:szCs w:val="28"/>
        </w:rPr>
        <w:t>所在機關長官</w:t>
      </w:r>
      <w:r w:rsidRPr="00B017AD">
        <w:rPr>
          <w:rFonts w:ascii="標楷體" w:eastAsia="標楷體" w:hAnsi="標楷體" w:hint="eastAsia"/>
          <w:sz w:val="28"/>
          <w:szCs w:val="28"/>
        </w:rPr>
        <w:t>及</w:t>
      </w:r>
      <w:r w:rsidRPr="00001B9A">
        <w:rPr>
          <w:rFonts w:ascii="標楷體" w:eastAsia="標楷體" w:hAnsi="標楷體" w:hint="eastAsia"/>
          <w:sz w:val="28"/>
          <w:szCs w:val="28"/>
        </w:rPr>
        <w:t>該管審計機關，分別轉陳各該管最上級機關。</w:t>
      </w:r>
    </w:p>
    <w:p w:rsidR="009B79CB" w:rsidRPr="00B753F9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非經審計機關認為其對於善</w:t>
      </w:r>
      <w:r w:rsidRPr="00B017AD">
        <w:rPr>
          <w:rFonts w:ascii="標楷體" w:eastAsia="標楷體" w:hAnsi="標楷體" w:hint="eastAsia"/>
          <w:sz w:val="28"/>
          <w:szCs w:val="28"/>
        </w:rPr>
        <w:t>良</w:t>
      </w:r>
      <w:r w:rsidRPr="00001B9A">
        <w:rPr>
          <w:rFonts w:ascii="標楷體" w:eastAsia="標楷體" w:hAnsi="標楷體" w:hint="eastAsia"/>
          <w:sz w:val="28"/>
          <w:szCs w:val="28"/>
        </w:rPr>
        <w:t>管理人應有之注意並無怠忽，且予解除責任者，應付懲戒。匿不陳報者，從重懲戒。致公庫受損害者，負賠償責任。</w:t>
      </w:r>
    </w:p>
    <w:p w:rsidR="00442E5F" w:rsidRDefault="00CD7E53" w:rsidP="009B79CB">
      <w:pPr>
        <w:pStyle w:val="ListParagraph"/>
        <w:spacing w:line="400" w:lineRule="exact"/>
        <w:ind w:leftChars="0" w:left="57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F090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1B9A">
        <w:rPr>
          <w:rFonts w:ascii="標楷體" w:eastAsia="標楷體" w:hAnsi="標楷體" w:hint="eastAsia"/>
          <w:sz w:val="28"/>
          <w:szCs w:val="28"/>
        </w:rPr>
        <w:t>會計憑證</w:t>
      </w:r>
      <w:r w:rsidRPr="00B017AD">
        <w:rPr>
          <w:rFonts w:ascii="標楷體" w:eastAsia="標楷體" w:hAnsi="標楷體" w:hint="eastAsia"/>
          <w:sz w:val="28"/>
          <w:szCs w:val="28"/>
        </w:rPr>
        <w:t>依會計法規定移交</w:t>
      </w:r>
      <w:r>
        <w:rPr>
          <w:rFonts w:ascii="標楷體" w:eastAsia="標楷體" w:hAnsi="標楷體" w:hint="eastAsia"/>
          <w:sz w:val="28"/>
          <w:szCs w:val="28"/>
        </w:rPr>
        <w:t>機關檔案人員</w:t>
      </w:r>
      <w:r w:rsidRPr="00B017AD">
        <w:rPr>
          <w:rFonts w:ascii="標楷體" w:eastAsia="標楷體" w:hAnsi="標楷體" w:hint="eastAsia"/>
          <w:sz w:val="28"/>
          <w:szCs w:val="28"/>
        </w:rPr>
        <w:t>後</w:t>
      </w:r>
      <w:r w:rsidRPr="00001B9A">
        <w:rPr>
          <w:rFonts w:ascii="標楷體" w:eastAsia="標楷體" w:hAnsi="標楷體" w:hint="eastAsia"/>
          <w:sz w:val="28"/>
          <w:szCs w:val="28"/>
        </w:rPr>
        <w:t>，遇有遺失、損毀等情事時，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001B9A">
        <w:rPr>
          <w:rFonts w:ascii="標楷體" w:eastAsia="標楷體" w:hAnsi="標楷體" w:hint="eastAsia"/>
          <w:sz w:val="28"/>
          <w:szCs w:val="28"/>
        </w:rPr>
        <w:t>檔案人員應通知主（會）計單位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1BA7" w:rsidRPr="009A4673" w:rsidRDefault="000E1BA7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A4673">
        <w:rPr>
          <w:rFonts w:ascii="標楷體" w:eastAsia="標楷體" w:hAnsi="標楷體" w:hint="eastAsia"/>
          <w:sz w:val="28"/>
          <w:szCs w:val="28"/>
        </w:rPr>
        <w:lastRenderedPageBreak/>
        <w:t>各機關會計憑證之</w:t>
      </w:r>
      <w:r w:rsidR="00B43F22">
        <w:rPr>
          <w:rFonts w:ascii="標楷體" w:eastAsia="標楷體" w:hAnsi="標楷體" w:hint="eastAsia"/>
          <w:sz w:val="28"/>
          <w:szCs w:val="28"/>
        </w:rPr>
        <w:t>調案</w:t>
      </w:r>
      <w:r w:rsidRPr="009A4673">
        <w:rPr>
          <w:rFonts w:ascii="標楷體" w:eastAsia="標楷體" w:hAnsi="標楷體" w:hint="eastAsia"/>
          <w:sz w:val="28"/>
          <w:szCs w:val="28"/>
        </w:rPr>
        <w:t>，應注意下列事項：</w:t>
      </w:r>
    </w:p>
    <w:p w:rsidR="000E1BA7" w:rsidRPr="000E1BA7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調案人應填具調案單，載明調案人之姓名、任職單位、調案事由、調案日期等資料，向主（會）計單位提出申請，經主辦會計人員之同意，並得衡酌調案事由後，陳報機關長官核可後為之。</w:t>
      </w:r>
    </w:p>
    <w:p w:rsidR="000E1BA7" w:rsidRPr="000E1BA7" w:rsidRDefault="00CD7E53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1618F0">
        <w:rPr>
          <w:rFonts w:ascii="標楷體" w:eastAsia="標楷體" w:hAnsi="標楷體" w:hint="eastAsia"/>
          <w:sz w:val="28"/>
          <w:szCs w:val="28"/>
        </w:rPr>
        <w:t>非經主辦會計人員同意，不得拆訂會計憑證</w:t>
      </w:r>
      <w:r w:rsidR="0042422B">
        <w:rPr>
          <w:rFonts w:ascii="標楷體" w:eastAsia="標楷體" w:hAnsi="標楷體" w:hint="eastAsia"/>
          <w:sz w:val="28"/>
          <w:szCs w:val="28"/>
        </w:rPr>
        <w:t>；</w:t>
      </w:r>
      <w:r w:rsidRPr="001618F0">
        <w:rPr>
          <w:rFonts w:ascii="標楷體" w:eastAsia="標楷體" w:hAnsi="標楷體" w:hint="eastAsia"/>
          <w:sz w:val="28"/>
          <w:szCs w:val="28"/>
        </w:rPr>
        <w:t>同意拆訂</w:t>
      </w:r>
      <w:r w:rsidR="0042422B">
        <w:rPr>
          <w:rFonts w:ascii="標楷體" w:eastAsia="標楷體" w:hAnsi="標楷體" w:hint="eastAsia"/>
          <w:sz w:val="28"/>
          <w:szCs w:val="28"/>
        </w:rPr>
        <w:t>者</w:t>
      </w:r>
      <w:r w:rsidRPr="001618F0">
        <w:rPr>
          <w:rFonts w:ascii="標楷體" w:eastAsia="標楷體" w:hAnsi="標楷體" w:hint="eastAsia"/>
          <w:sz w:val="28"/>
          <w:szCs w:val="28"/>
        </w:rPr>
        <w:t>，應將經過情形與增減單據、張數及號數，以書面敘明，並於重訂時，附於首頁。</w:t>
      </w:r>
    </w:p>
    <w:p w:rsidR="000E1BA7" w:rsidRPr="000E1BA7" w:rsidRDefault="00130A8E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1618F0">
        <w:rPr>
          <w:rFonts w:ascii="標楷體" w:eastAsia="標楷體" w:hAnsi="標楷體" w:hint="eastAsia"/>
          <w:sz w:val="28"/>
          <w:szCs w:val="28"/>
        </w:rPr>
        <w:t>會計管理人員應注意會計憑證之調案情形，除司法、審計、檢察、調查或稅務等機關依法律規定借調原件者外，不得攜出會計管理人員指定之處所。</w:t>
      </w:r>
    </w:p>
    <w:p w:rsidR="000E1BA7" w:rsidRPr="000E1BA7" w:rsidRDefault="00130A8E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1618F0">
        <w:rPr>
          <w:rFonts w:ascii="標楷體" w:eastAsia="標楷體" w:hAnsi="標楷體" w:hint="eastAsia"/>
          <w:sz w:val="28"/>
          <w:szCs w:val="28"/>
        </w:rPr>
        <w:t>調案人與會計管理人員於前款司法等機關攜出及歸還會計憑證時，應注意原件之項目、數量及內容等，以確保原件完整性。會計管理人員並應定期清理歸還情形。</w:t>
      </w:r>
    </w:p>
    <w:p w:rsidR="000E1BA7" w:rsidRDefault="00130A8E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1618F0">
        <w:rPr>
          <w:rFonts w:ascii="標楷體" w:eastAsia="標楷體" w:hAnsi="標楷體" w:hint="eastAsia"/>
          <w:sz w:val="28"/>
          <w:szCs w:val="28"/>
        </w:rPr>
        <w:t>會計管理人員應作成調案紀錄，扼要記載調案人之姓名、任職單位、調案事由、調案日期、憑證編號及歸還日期等。調案紀錄，得以紀錄卡、紀錄簿、電子或其他方式紀錄為之。調案紀錄於其所載會計憑證銷毀後，始得銷毀之。</w:t>
      </w:r>
    </w:p>
    <w:p w:rsidR="00E972BE" w:rsidRPr="008B798C" w:rsidRDefault="00130A8E" w:rsidP="000E1BA7">
      <w:pPr>
        <w:pStyle w:val="ListParagraph"/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06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1B9A">
        <w:rPr>
          <w:rFonts w:ascii="標楷體" w:eastAsia="標楷體" w:hAnsi="標楷體" w:hint="eastAsia"/>
          <w:sz w:val="28"/>
          <w:szCs w:val="28"/>
        </w:rPr>
        <w:t>會計憑證</w:t>
      </w:r>
      <w:r w:rsidRPr="00674929">
        <w:rPr>
          <w:rFonts w:ascii="標楷體" w:eastAsia="標楷體" w:hAnsi="標楷體" w:hint="eastAsia"/>
          <w:sz w:val="28"/>
          <w:szCs w:val="28"/>
        </w:rPr>
        <w:t>依會計法</w:t>
      </w:r>
      <w:r w:rsidR="0042422B">
        <w:rPr>
          <w:rFonts w:ascii="標楷體" w:eastAsia="標楷體" w:hAnsi="標楷體" w:hint="eastAsia"/>
          <w:sz w:val="28"/>
          <w:szCs w:val="28"/>
        </w:rPr>
        <w:t>規定</w:t>
      </w:r>
      <w:r w:rsidRPr="00674929">
        <w:rPr>
          <w:rFonts w:ascii="標楷體" w:eastAsia="標楷體" w:hAnsi="標楷體" w:hint="eastAsia"/>
          <w:sz w:val="28"/>
          <w:szCs w:val="28"/>
        </w:rPr>
        <w:t>移交</w:t>
      </w:r>
      <w:r>
        <w:rPr>
          <w:rFonts w:ascii="標楷體" w:eastAsia="標楷體" w:hAnsi="標楷體" w:hint="eastAsia"/>
          <w:sz w:val="28"/>
          <w:szCs w:val="28"/>
        </w:rPr>
        <w:t>機關檔案人員</w:t>
      </w:r>
      <w:r w:rsidRPr="00674929">
        <w:rPr>
          <w:rFonts w:ascii="標楷體" w:eastAsia="標楷體" w:hAnsi="標楷體" w:hint="eastAsia"/>
          <w:sz w:val="28"/>
          <w:szCs w:val="28"/>
        </w:rPr>
        <w:t>後</w:t>
      </w:r>
      <w:r w:rsidRPr="00001B9A">
        <w:rPr>
          <w:rFonts w:ascii="標楷體" w:eastAsia="標楷體" w:hAnsi="標楷體" w:hint="eastAsia"/>
          <w:sz w:val="28"/>
          <w:szCs w:val="28"/>
        </w:rPr>
        <w:t>之調案，</w:t>
      </w:r>
      <w:r>
        <w:rPr>
          <w:rFonts w:ascii="標楷體" w:eastAsia="標楷體" w:hAnsi="標楷體" w:hint="eastAsia"/>
          <w:sz w:val="28"/>
          <w:szCs w:val="28"/>
        </w:rPr>
        <w:t>準用</w:t>
      </w:r>
      <w:r w:rsidRPr="00001B9A">
        <w:rPr>
          <w:rFonts w:ascii="標楷體" w:eastAsia="標楷體" w:hAnsi="標楷體" w:hint="eastAsia"/>
          <w:sz w:val="28"/>
          <w:szCs w:val="28"/>
        </w:rPr>
        <w:t>前項規定辦理。調案人經</w:t>
      </w:r>
      <w:r>
        <w:rPr>
          <w:rFonts w:ascii="標楷體" w:eastAsia="標楷體" w:hAnsi="標楷體" w:hint="eastAsia"/>
          <w:sz w:val="28"/>
          <w:szCs w:val="28"/>
        </w:rPr>
        <w:t>向主（會）計單位提出申請</w:t>
      </w:r>
      <w:r w:rsidRPr="00001B9A">
        <w:rPr>
          <w:rFonts w:ascii="標楷體" w:eastAsia="標楷體" w:hAnsi="標楷體" w:hint="eastAsia"/>
          <w:sz w:val="28"/>
          <w:szCs w:val="28"/>
        </w:rPr>
        <w:t>，由主（會）計單位向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001B9A">
        <w:rPr>
          <w:rFonts w:ascii="標楷體" w:eastAsia="標楷體" w:hAnsi="標楷體" w:hint="eastAsia"/>
          <w:sz w:val="28"/>
          <w:szCs w:val="28"/>
        </w:rPr>
        <w:t>檔案人員為之。</w:t>
      </w:r>
    </w:p>
    <w:p w:rsidR="006E3C8E" w:rsidRPr="00FA045F" w:rsidRDefault="00C470E5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各機關會計憑證之調案，不得有下列行為：</w:t>
      </w:r>
    </w:p>
    <w:p w:rsidR="006E3C8E" w:rsidRPr="00FA045F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添註、塗改、更換、抽取、圈點或污損會計憑證。</w:t>
      </w:r>
    </w:p>
    <w:p w:rsidR="006E3C8E" w:rsidRPr="00FA045F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非經主辦會計人員之同意拆散已裝訂完成之會計憑證。</w:t>
      </w:r>
    </w:p>
    <w:p w:rsidR="006E3C8E" w:rsidRPr="00FA045F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以其他方法破壞或變更會計憑證內容。</w:t>
      </w:r>
    </w:p>
    <w:p w:rsidR="005C39BD" w:rsidRDefault="00C470E5" w:rsidP="006E3C8E">
      <w:pPr>
        <w:pStyle w:val="ListParagraph"/>
        <w:spacing w:line="400" w:lineRule="exact"/>
        <w:ind w:leftChars="0" w:left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06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1B9A">
        <w:rPr>
          <w:rFonts w:ascii="標楷體" w:eastAsia="標楷體" w:hAnsi="標楷體" w:hint="eastAsia"/>
          <w:sz w:val="28"/>
          <w:szCs w:val="28"/>
        </w:rPr>
        <w:t>違反前項規定者，會計管理人員得停止其調案，並得視情節輕重，陳報所在機關長官議處，如涉及刑事責任者，移送該管檢察機關偵辦。</w:t>
      </w:r>
    </w:p>
    <w:p w:rsidR="006E3C8E" w:rsidRPr="00FA045F" w:rsidRDefault="006E3C8E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FA045F">
        <w:rPr>
          <w:rFonts w:ascii="標楷體" w:eastAsia="標楷體" w:hAnsi="標楷體" w:hint="eastAsia"/>
          <w:sz w:val="28"/>
          <w:szCs w:val="28"/>
        </w:rPr>
        <w:t>各機關會計憑證之銷毀，應注意下列事項：</w:t>
      </w:r>
    </w:p>
    <w:p w:rsidR="006E3C8E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各種會計憑證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01B9A">
        <w:rPr>
          <w:rFonts w:ascii="標楷體" w:eastAsia="標楷體" w:hAnsi="標楷體" w:hint="eastAsia"/>
          <w:sz w:val="28"/>
          <w:szCs w:val="28"/>
        </w:rPr>
        <w:t>除有關未了債權債務或因案應續予保存外，</w:t>
      </w:r>
      <w:r>
        <w:rPr>
          <w:rFonts w:ascii="標楷體" w:eastAsia="標楷體" w:hAnsi="標楷體" w:hint="eastAsia"/>
          <w:sz w:val="28"/>
          <w:szCs w:val="28"/>
        </w:rPr>
        <w:t>銷毀時</w:t>
      </w:r>
      <w:r w:rsidRPr="00674929">
        <w:rPr>
          <w:rFonts w:ascii="標楷體" w:eastAsia="標楷體" w:hAnsi="標楷體" w:hint="eastAsia"/>
          <w:sz w:val="28"/>
          <w:szCs w:val="28"/>
        </w:rPr>
        <w:t>應</w:t>
      </w:r>
      <w:r w:rsidRPr="00001B9A">
        <w:rPr>
          <w:rFonts w:ascii="標楷體" w:eastAsia="標楷體" w:hAnsi="標楷體" w:hint="eastAsia"/>
          <w:sz w:val="28"/>
          <w:szCs w:val="28"/>
        </w:rPr>
        <w:t>造具清冊</w:t>
      </w:r>
      <w:r>
        <w:rPr>
          <w:rFonts w:ascii="標楷體" w:eastAsia="標楷體" w:hAnsi="標楷體" w:hint="eastAsia"/>
          <w:sz w:val="28"/>
          <w:szCs w:val="28"/>
        </w:rPr>
        <w:t>並依會計法規定</w:t>
      </w:r>
      <w:r w:rsidRPr="00001B9A">
        <w:rPr>
          <w:rFonts w:ascii="標楷體" w:eastAsia="標楷體" w:hAnsi="標楷體" w:hint="eastAsia"/>
          <w:sz w:val="28"/>
          <w:szCs w:val="28"/>
        </w:rPr>
        <w:t>報經該管上級機關</w:t>
      </w:r>
      <w:r w:rsidRPr="00674929">
        <w:rPr>
          <w:rFonts w:ascii="標楷體" w:eastAsia="標楷體" w:hAnsi="標楷體" w:hint="eastAsia"/>
          <w:sz w:val="28"/>
          <w:szCs w:val="28"/>
        </w:rPr>
        <w:t>及</w:t>
      </w:r>
      <w:r w:rsidRPr="00001B9A">
        <w:rPr>
          <w:rFonts w:ascii="標楷體" w:eastAsia="標楷體" w:hAnsi="標楷體" w:hint="eastAsia"/>
          <w:sz w:val="28"/>
          <w:szCs w:val="28"/>
        </w:rPr>
        <w:t>該管審計機關同意後，</w:t>
      </w:r>
      <w:r w:rsidRPr="00F03576">
        <w:rPr>
          <w:rFonts w:ascii="標楷體" w:eastAsia="標楷體" w:hAnsi="標楷體" w:hint="eastAsia"/>
          <w:sz w:val="28"/>
          <w:szCs w:val="28"/>
        </w:rPr>
        <w:t>依檔案法相關規定辦理銷毀</w:t>
      </w:r>
      <w:r w:rsidRPr="00001B9A">
        <w:rPr>
          <w:rFonts w:ascii="標楷體" w:eastAsia="標楷體" w:hAnsi="標楷體" w:hint="eastAsia"/>
          <w:sz w:val="28"/>
          <w:szCs w:val="28"/>
        </w:rPr>
        <w:t>。</w:t>
      </w:r>
    </w:p>
    <w:p w:rsidR="006E3C8E" w:rsidRPr="008A7F86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經核准銷毀之會計憑證於銷毀前，應妥善集中放置於安全場所，並應注意其運送過程之安全。</w:t>
      </w:r>
    </w:p>
    <w:p w:rsidR="006E3C8E" w:rsidRPr="008A7F86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會計憑證之銷毀，應依檔案法相關規定派員全程監控，並應注意環境保護事宜。</w:t>
      </w:r>
    </w:p>
    <w:p w:rsidR="005C39BD" w:rsidRDefault="00C470E5" w:rsidP="003534A3">
      <w:pPr>
        <w:pStyle w:val="ListParagraph"/>
        <w:numPr>
          <w:ilvl w:val="1"/>
          <w:numId w:val="1"/>
        </w:numPr>
        <w:tabs>
          <w:tab w:val="clear" w:pos="88"/>
          <w:tab w:val="num" w:pos="-6480"/>
        </w:tabs>
        <w:spacing w:line="400" w:lineRule="exact"/>
        <w:ind w:left="1330" w:hanging="850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已銷毀之會計憑證，應於會計憑證銷毀目次註記核准銷毀之文號及銷毀之日期。銷毀目次，應併同核准銷毀文件，並</w:t>
      </w:r>
      <w:r w:rsidRPr="009A2D06">
        <w:rPr>
          <w:rFonts w:ascii="標楷體" w:eastAsia="標楷體" w:hAnsi="標楷體" w:hint="eastAsia"/>
          <w:sz w:val="28"/>
          <w:szCs w:val="28"/>
        </w:rPr>
        <w:t>依檔案法相關規定辦理</w:t>
      </w:r>
      <w:r w:rsidRPr="00001B9A">
        <w:rPr>
          <w:rFonts w:ascii="標楷體" w:eastAsia="標楷體" w:hAnsi="標楷體" w:hint="eastAsia"/>
          <w:sz w:val="28"/>
          <w:szCs w:val="28"/>
        </w:rPr>
        <w:t>。</w:t>
      </w:r>
    </w:p>
    <w:p w:rsidR="00723406" w:rsidRPr="000C4715" w:rsidRDefault="00C470E5" w:rsidP="003534A3">
      <w:pPr>
        <w:pStyle w:val="ListParagraph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各機關之原始憑證留存其他政府機關（構）、學校或民間團體</w:t>
      </w:r>
      <w:r w:rsidR="0042422B">
        <w:rPr>
          <w:rFonts w:ascii="標楷體" w:eastAsia="標楷體" w:hAnsi="標楷體" w:hint="eastAsia"/>
          <w:sz w:val="28"/>
          <w:szCs w:val="28"/>
        </w:rPr>
        <w:t>者</w:t>
      </w:r>
      <w:r w:rsidRPr="00001B9A">
        <w:rPr>
          <w:rFonts w:ascii="標楷體" w:eastAsia="標楷體" w:hAnsi="標楷體" w:hint="eastAsia"/>
          <w:sz w:val="28"/>
          <w:szCs w:val="28"/>
        </w:rPr>
        <w:t>，應建立控</w:t>
      </w:r>
      <w:r w:rsidRPr="00001B9A">
        <w:rPr>
          <w:rFonts w:ascii="標楷體" w:eastAsia="標楷體" w:hAnsi="標楷體" w:hint="eastAsia"/>
          <w:sz w:val="28"/>
          <w:szCs w:val="28"/>
        </w:rPr>
        <w:lastRenderedPageBreak/>
        <w:t>管及審核機制，並作成相關紀錄，定期將留存明細表及審核結果紀錄通知該管審計機關。</w:t>
      </w:r>
    </w:p>
    <w:p w:rsidR="00723406" w:rsidRPr="00516F71" w:rsidRDefault="00C470E5" w:rsidP="00723406">
      <w:pPr>
        <w:pStyle w:val="ListParagraph"/>
        <w:spacing w:line="400" w:lineRule="exact"/>
        <w:ind w:leftChars="0" w:left="57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06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1B9A">
        <w:rPr>
          <w:rFonts w:ascii="標楷體" w:eastAsia="標楷體" w:hAnsi="標楷體" w:hint="eastAsia"/>
          <w:sz w:val="28"/>
          <w:szCs w:val="28"/>
        </w:rPr>
        <w:t>前項留存明細表之填報內容、範圍、格式、時間等，由行政院主計總處會商審計部另</w:t>
      </w:r>
      <w:r w:rsidRPr="00674929">
        <w:rPr>
          <w:rFonts w:ascii="標楷體" w:eastAsia="標楷體" w:hAnsi="標楷體" w:hint="eastAsia"/>
          <w:sz w:val="28"/>
          <w:szCs w:val="28"/>
        </w:rPr>
        <w:t>定</w:t>
      </w:r>
      <w:r w:rsidRPr="00001B9A">
        <w:rPr>
          <w:rFonts w:ascii="標楷體" w:eastAsia="標楷體" w:hAnsi="標楷體" w:hint="eastAsia"/>
          <w:sz w:val="28"/>
          <w:szCs w:val="28"/>
        </w:rPr>
        <w:t>之。</w:t>
      </w:r>
    </w:p>
    <w:p w:rsidR="00723406" w:rsidRDefault="00C470E5" w:rsidP="00723406">
      <w:pPr>
        <w:pStyle w:val="ListParagraph"/>
        <w:spacing w:line="400" w:lineRule="exact"/>
        <w:ind w:leftChars="0" w:left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0672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1B9A">
        <w:rPr>
          <w:rFonts w:ascii="標楷體" w:eastAsia="標楷體" w:hAnsi="標楷體" w:hint="eastAsia"/>
          <w:sz w:val="28"/>
          <w:szCs w:val="28"/>
        </w:rPr>
        <w:t>第一項原始憑證遇有遺失、損毀等情事或辦理銷毀時，屬留存其他政府機關（構）、學校</w:t>
      </w:r>
      <w:r w:rsidRPr="00674929">
        <w:rPr>
          <w:rFonts w:ascii="標楷體" w:eastAsia="標楷體" w:hAnsi="標楷體" w:hint="eastAsia"/>
          <w:sz w:val="28"/>
          <w:szCs w:val="28"/>
        </w:rPr>
        <w:t>者</w:t>
      </w:r>
      <w:r w:rsidRPr="00001B9A">
        <w:rPr>
          <w:rFonts w:ascii="標楷體" w:eastAsia="標楷體" w:hAnsi="標楷體" w:hint="eastAsia"/>
          <w:sz w:val="28"/>
          <w:szCs w:val="28"/>
        </w:rPr>
        <w:t>，留存者應依第六點及第九點規定辦理；屬留存民間團體</w:t>
      </w:r>
      <w:r w:rsidRPr="00674929">
        <w:rPr>
          <w:rFonts w:ascii="標楷體" w:eastAsia="標楷體" w:hAnsi="標楷體" w:hint="eastAsia"/>
          <w:sz w:val="28"/>
          <w:szCs w:val="28"/>
        </w:rPr>
        <w:t>者</w:t>
      </w:r>
      <w:r w:rsidRPr="00001B9A">
        <w:rPr>
          <w:rFonts w:ascii="標楷體" w:eastAsia="標楷體" w:hAnsi="標楷體" w:hint="eastAsia"/>
          <w:sz w:val="28"/>
          <w:szCs w:val="28"/>
        </w:rPr>
        <w:t>，該團體應函報各機關後，再由各機關依</w:t>
      </w:r>
      <w:r w:rsidRPr="00616C0F">
        <w:rPr>
          <w:rFonts w:ascii="標楷體" w:eastAsia="標楷體" w:hAnsi="標楷體" w:hint="eastAsia"/>
          <w:sz w:val="28"/>
          <w:szCs w:val="28"/>
        </w:rPr>
        <w:t>第六點及第九點規定</w:t>
      </w:r>
      <w:r w:rsidRPr="00001B9A">
        <w:rPr>
          <w:rFonts w:ascii="標楷體" w:eastAsia="標楷體" w:hAnsi="標楷體" w:hint="eastAsia"/>
          <w:sz w:val="28"/>
          <w:szCs w:val="28"/>
        </w:rPr>
        <w:t>辦理。</w:t>
      </w:r>
    </w:p>
    <w:p w:rsidR="00E972BE" w:rsidRPr="008B798C" w:rsidRDefault="00C470E5" w:rsidP="003534A3">
      <w:pPr>
        <w:pStyle w:val="ListParagraph"/>
        <w:numPr>
          <w:ilvl w:val="0"/>
          <w:numId w:val="1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各機關主辦會計人員辦理交代時，應將該機關經管之會計憑證，造表悉數交付後任，其已編有目次者，依目次移交，得不另行造表。會計管理人員辦理交代時，應依會計法規定確實辦理交代。</w:t>
      </w:r>
    </w:p>
    <w:p w:rsidR="00E972BE" w:rsidRPr="00860621" w:rsidRDefault="001C145C" w:rsidP="003534A3">
      <w:pPr>
        <w:pStyle w:val="ListParagraph"/>
        <w:numPr>
          <w:ilvl w:val="0"/>
          <w:numId w:val="1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001B9A">
        <w:rPr>
          <w:rFonts w:ascii="標楷體" w:eastAsia="標楷體" w:hAnsi="標楷體" w:hint="eastAsia"/>
          <w:sz w:val="28"/>
          <w:szCs w:val="28"/>
        </w:rPr>
        <w:t>各主管機關對所屬機關辦理本注意事項</w:t>
      </w:r>
      <w:r w:rsidRPr="009A288B">
        <w:rPr>
          <w:rFonts w:ascii="標楷體" w:eastAsia="標楷體" w:hAnsi="標楷體" w:hint="eastAsia"/>
          <w:sz w:val="28"/>
          <w:szCs w:val="28"/>
        </w:rPr>
        <w:t>之</w:t>
      </w:r>
      <w:r w:rsidRPr="00001B9A">
        <w:rPr>
          <w:rFonts w:ascii="標楷體" w:eastAsia="標楷體" w:hAnsi="標楷體" w:hint="eastAsia"/>
          <w:sz w:val="28"/>
          <w:szCs w:val="28"/>
        </w:rPr>
        <w:t>情形，應加強監督，並得視事實需要派員抽查之。</w:t>
      </w:r>
    </w:p>
    <w:p w:rsidR="00C669DF" w:rsidRDefault="001C145C" w:rsidP="003534A3">
      <w:pPr>
        <w:pStyle w:val="ListParagraph"/>
        <w:numPr>
          <w:ilvl w:val="0"/>
          <w:numId w:val="1"/>
        </w:numPr>
        <w:spacing w:line="400" w:lineRule="exact"/>
        <w:ind w:leftChars="0" w:left="851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616C0F">
        <w:rPr>
          <w:rFonts w:ascii="標楷體" w:eastAsia="標楷體" w:hAnsi="標楷體" w:hint="eastAsia"/>
          <w:sz w:val="28"/>
          <w:szCs w:val="28"/>
        </w:rPr>
        <w:t>第五點至第八點所定應經主辦會計人員或機關長官同意、核可或轉陳之事項，得由各機關依其內部權責分工規範，由相關授權代簽人為之。</w:t>
      </w:r>
    </w:p>
    <w:p w:rsidR="00E972BE" w:rsidRPr="00C669DF" w:rsidRDefault="00C669DF" w:rsidP="00C669DF">
      <w:pPr>
        <w:pStyle w:val="ListParagraph"/>
        <w:spacing w:line="400" w:lineRule="exact"/>
        <w:ind w:leftChars="355" w:left="8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145C" w:rsidRPr="00001B9A">
        <w:rPr>
          <w:rFonts w:ascii="標楷體" w:eastAsia="標楷體" w:hAnsi="標楷體" w:hint="eastAsia"/>
          <w:sz w:val="28"/>
          <w:szCs w:val="28"/>
        </w:rPr>
        <w:t>各機關基於業務特性或其他因素，得於本注意事項所定範圍內，另行訂定規定。</w:t>
      </w:r>
    </w:p>
    <w:sectPr w:rsidR="00E972BE" w:rsidRPr="00C669DF" w:rsidSect="00D06DBA">
      <w:pgSz w:w="11906" w:h="16838"/>
      <w:pgMar w:top="1134" w:right="1134" w:bottom="8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A4" w:rsidRDefault="007935A4" w:rsidP="00592DF9">
      <w:r>
        <w:separator/>
      </w:r>
    </w:p>
  </w:endnote>
  <w:endnote w:type="continuationSeparator" w:id="0">
    <w:p w:rsidR="007935A4" w:rsidRDefault="007935A4" w:rsidP="005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A4" w:rsidRDefault="007935A4" w:rsidP="00592DF9">
      <w:r>
        <w:separator/>
      </w:r>
    </w:p>
  </w:footnote>
  <w:footnote w:type="continuationSeparator" w:id="0">
    <w:p w:rsidR="007935A4" w:rsidRDefault="007935A4" w:rsidP="0059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F"/>
    <w:rsid w:val="00001B9A"/>
    <w:rsid w:val="00020825"/>
    <w:rsid w:val="000226F5"/>
    <w:rsid w:val="00023B8D"/>
    <w:rsid w:val="00030E1B"/>
    <w:rsid w:val="000376DA"/>
    <w:rsid w:val="0003773B"/>
    <w:rsid w:val="00041A70"/>
    <w:rsid w:val="000453E4"/>
    <w:rsid w:val="00046E1E"/>
    <w:rsid w:val="000472D4"/>
    <w:rsid w:val="00051D59"/>
    <w:rsid w:val="00052722"/>
    <w:rsid w:val="00053A50"/>
    <w:rsid w:val="000545FF"/>
    <w:rsid w:val="00061349"/>
    <w:rsid w:val="00072636"/>
    <w:rsid w:val="000759E1"/>
    <w:rsid w:val="00083659"/>
    <w:rsid w:val="000850BE"/>
    <w:rsid w:val="000852C1"/>
    <w:rsid w:val="000A016E"/>
    <w:rsid w:val="000A701C"/>
    <w:rsid w:val="000B144B"/>
    <w:rsid w:val="000B2D6B"/>
    <w:rsid w:val="000B4B29"/>
    <w:rsid w:val="000C3A1F"/>
    <w:rsid w:val="000C4715"/>
    <w:rsid w:val="000D301E"/>
    <w:rsid w:val="000E1BA7"/>
    <w:rsid w:val="000E3B9B"/>
    <w:rsid w:val="000E4915"/>
    <w:rsid w:val="000E58E2"/>
    <w:rsid w:val="000F03D0"/>
    <w:rsid w:val="000F3F5E"/>
    <w:rsid w:val="000F5AA8"/>
    <w:rsid w:val="00102473"/>
    <w:rsid w:val="00104795"/>
    <w:rsid w:val="00122404"/>
    <w:rsid w:val="0012348D"/>
    <w:rsid w:val="001246E6"/>
    <w:rsid w:val="00124F69"/>
    <w:rsid w:val="00126A11"/>
    <w:rsid w:val="00130A8E"/>
    <w:rsid w:val="00147471"/>
    <w:rsid w:val="00150140"/>
    <w:rsid w:val="0015409C"/>
    <w:rsid w:val="0015458A"/>
    <w:rsid w:val="00155E26"/>
    <w:rsid w:val="001618F0"/>
    <w:rsid w:val="00167E95"/>
    <w:rsid w:val="00174320"/>
    <w:rsid w:val="001803E1"/>
    <w:rsid w:val="00183EED"/>
    <w:rsid w:val="00185CBF"/>
    <w:rsid w:val="00185FF3"/>
    <w:rsid w:val="00187381"/>
    <w:rsid w:val="001879E7"/>
    <w:rsid w:val="00187BFC"/>
    <w:rsid w:val="00191EA9"/>
    <w:rsid w:val="001944DA"/>
    <w:rsid w:val="001953D5"/>
    <w:rsid w:val="001A03A2"/>
    <w:rsid w:val="001C08D1"/>
    <w:rsid w:val="001C145C"/>
    <w:rsid w:val="001D4739"/>
    <w:rsid w:val="001D493E"/>
    <w:rsid w:val="001D5A50"/>
    <w:rsid w:val="001D75C7"/>
    <w:rsid w:val="001D7D5C"/>
    <w:rsid w:val="001E7663"/>
    <w:rsid w:val="001F17ED"/>
    <w:rsid w:val="001F39A4"/>
    <w:rsid w:val="001F6E69"/>
    <w:rsid w:val="00210AA8"/>
    <w:rsid w:val="00212F20"/>
    <w:rsid w:val="002130C8"/>
    <w:rsid w:val="00214177"/>
    <w:rsid w:val="002171AA"/>
    <w:rsid w:val="00220C8D"/>
    <w:rsid w:val="002329EC"/>
    <w:rsid w:val="00240601"/>
    <w:rsid w:val="00253E9F"/>
    <w:rsid w:val="00253FD5"/>
    <w:rsid w:val="00254C01"/>
    <w:rsid w:val="0025506E"/>
    <w:rsid w:val="00257132"/>
    <w:rsid w:val="00266BA9"/>
    <w:rsid w:val="00272B3F"/>
    <w:rsid w:val="00273EAE"/>
    <w:rsid w:val="002766BC"/>
    <w:rsid w:val="0028045B"/>
    <w:rsid w:val="002832AB"/>
    <w:rsid w:val="00285F08"/>
    <w:rsid w:val="00291AF5"/>
    <w:rsid w:val="00292AC9"/>
    <w:rsid w:val="002A3E5C"/>
    <w:rsid w:val="002A5609"/>
    <w:rsid w:val="002A5649"/>
    <w:rsid w:val="002A5CCB"/>
    <w:rsid w:val="002B29DA"/>
    <w:rsid w:val="002B3851"/>
    <w:rsid w:val="002B68B6"/>
    <w:rsid w:val="002C59A8"/>
    <w:rsid w:val="002D4697"/>
    <w:rsid w:val="002E073E"/>
    <w:rsid w:val="002F4FEA"/>
    <w:rsid w:val="002F56EA"/>
    <w:rsid w:val="002F675D"/>
    <w:rsid w:val="00300118"/>
    <w:rsid w:val="003004EF"/>
    <w:rsid w:val="00302FE2"/>
    <w:rsid w:val="003043BB"/>
    <w:rsid w:val="003053B8"/>
    <w:rsid w:val="00306C2D"/>
    <w:rsid w:val="00315661"/>
    <w:rsid w:val="00323B84"/>
    <w:rsid w:val="00332633"/>
    <w:rsid w:val="00335E87"/>
    <w:rsid w:val="003534A3"/>
    <w:rsid w:val="00353AA2"/>
    <w:rsid w:val="003653E3"/>
    <w:rsid w:val="00381163"/>
    <w:rsid w:val="0038195A"/>
    <w:rsid w:val="003904C7"/>
    <w:rsid w:val="00390F34"/>
    <w:rsid w:val="00397C5E"/>
    <w:rsid w:val="003A3454"/>
    <w:rsid w:val="003B1458"/>
    <w:rsid w:val="003B5586"/>
    <w:rsid w:val="003B697C"/>
    <w:rsid w:val="003C4160"/>
    <w:rsid w:val="003C4A90"/>
    <w:rsid w:val="003C50C6"/>
    <w:rsid w:val="003D440E"/>
    <w:rsid w:val="003E2976"/>
    <w:rsid w:val="003E2C83"/>
    <w:rsid w:val="003E48A1"/>
    <w:rsid w:val="003E4B8F"/>
    <w:rsid w:val="003F3434"/>
    <w:rsid w:val="003F4482"/>
    <w:rsid w:val="003F4E24"/>
    <w:rsid w:val="003F5249"/>
    <w:rsid w:val="003F675D"/>
    <w:rsid w:val="00400215"/>
    <w:rsid w:val="004005D5"/>
    <w:rsid w:val="004011CB"/>
    <w:rsid w:val="004041D6"/>
    <w:rsid w:val="0040461E"/>
    <w:rsid w:val="00404BC9"/>
    <w:rsid w:val="00407156"/>
    <w:rsid w:val="00407CAF"/>
    <w:rsid w:val="00411B97"/>
    <w:rsid w:val="00413DD1"/>
    <w:rsid w:val="00417184"/>
    <w:rsid w:val="00423D77"/>
    <w:rsid w:val="0042422B"/>
    <w:rsid w:val="00424ECE"/>
    <w:rsid w:val="0042512C"/>
    <w:rsid w:val="00426555"/>
    <w:rsid w:val="0043184F"/>
    <w:rsid w:val="00433329"/>
    <w:rsid w:val="004333C6"/>
    <w:rsid w:val="00442E5F"/>
    <w:rsid w:val="00453CF9"/>
    <w:rsid w:val="004552E9"/>
    <w:rsid w:val="004571DF"/>
    <w:rsid w:val="0045778A"/>
    <w:rsid w:val="004578BC"/>
    <w:rsid w:val="004755CB"/>
    <w:rsid w:val="0049135F"/>
    <w:rsid w:val="00496027"/>
    <w:rsid w:val="004A5E36"/>
    <w:rsid w:val="004B0AD4"/>
    <w:rsid w:val="004B5604"/>
    <w:rsid w:val="004B6146"/>
    <w:rsid w:val="004C0ACF"/>
    <w:rsid w:val="004D2B6E"/>
    <w:rsid w:val="004D3C71"/>
    <w:rsid w:val="004E47F1"/>
    <w:rsid w:val="004F10F8"/>
    <w:rsid w:val="004F2CAC"/>
    <w:rsid w:val="004F3F6D"/>
    <w:rsid w:val="004F5A5F"/>
    <w:rsid w:val="004F6EA6"/>
    <w:rsid w:val="00500052"/>
    <w:rsid w:val="00513751"/>
    <w:rsid w:val="00516F71"/>
    <w:rsid w:val="005170D8"/>
    <w:rsid w:val="0052223E"/>
    <w:rsid w:val="0053067E"/>
    <w:rsid w:val="005347D7"/>
    <w:rsid w:val="00535C00"/>
    <w:rsid w:val="00543D01"/>
    <w:rsid w:val="005443F7"/>
    <w:rsid w:val="00546187"/>
    <w:rsid w:val="0055181E"/>
    <w:rsid w:val="00560BA4"/>
    <w:rsid w:val="005717CD"/>
    <w:rsid w:val="00571C7C"/>
    <w:rsid w:val="00574EA2"/>
    <w:rsid w:val="0057552A"/>
    <w:rsid w:val="0057589F"/>
    <w:rsid w:val="00577CC2"/>
    <w:rsid w:val="00584386"/>
    <w:rsid w:val="0058574A"/>
    <w:rsid w:val="00585B8E"/>
    <w:rsid w:val="00592DF9"/>
    <w:rsid w:val="005A23DC"/>
    <w:rsid w:val="005A394C"/>
    <w:rsid w:val="005A6E18"/>
    <w:rsid w:val="005B6DC3"/>
    <w:rsid w:val="005C39BD"/>
    <w:rsid w:val="005C519E"/>
    <w:rsid w:val="005C614C"/>
    <w:rsid w:val="005C6950"/>
    <w:rsid w:val="005D214B"/>
    <w:rsid w:val="005D420D"/>
    <w:rsid w:val="005E0753"/>
    <w:rsid w:val="005E4887"/>
    <w:rsid w:val="005F0E16"/>
    <w:rsid w:val="005F334D"/>
    <w:rsid w:val="005F37ED"/>
    <w:rsid w:val="005F3D0F"/>
    <w:rsid w:val="005F3EFA"/>
    <w:rsid w:val="006006EE"/>
    <w:rsid w:val="00601947"/>
    <w:rsid w:val="00605FE4"/>
    <w:rsid w:val="006102E2"/>
    <w:rsid w:val="0061117C"/>
    <w:rsid w:val="006149F2"/>
    <w:rsid w:val="006159AC"/>
    <w:rsid w:val="00617933"/>
    <w:rsid w:val="006270BF"/>
    <w:rsid w:val="00630409"/>
    <w:rsid w:val="00631591"/>
    <w:rsid w:val="00632A95"/>
    <w:rsid w:val="00634C46"/>
    <w:rsid w:val="00635BF1"/>
    <w:rsid w:val="00644F65"/>
    <w:rsid w:val="006508E1"/>
    <w:rsid w:val="006706BB"/>
    <w:rsid w:val="00673F13"/>
    <w:rsid w:val="006855E8"/>
    <w:rsid w:val="00687916"/>
    <w:rsid w:val="00687B67"/>
    <w:rsid w:val="006947FE"/>
    <w:rsid w:val="0069499F"/>
    <w:rsid w:val="006A0D7A"/>
    <w:rsid w:val="006A494B"/>
    <w:rsid w:val="006A659C"/>
    <w:rsid w:val="006C4A91"/>
    <w:rsid w:val="006D77BD"/>
    <w:rsid w:val="006E030B"/>
    <w:rsid w:val="006E3C8E"/>
    <w:rsid w:val="006E7716"/>
    <w:rsid w:val="006E7783"/>
    <w:rsid w:val="006F0113"/>
    <w:rsid w:val="006F2C41"/>
    <w:rsid w:val="006F2F9D"/>
    <w:rsid w:val="00701735"/>
    <w:rsid w:val="007069B9"/>
    <w:rsid w:val="00712D32"/>
    <w:rsid w:val="00713506"/>
    <w:rsid w:val="00714C3D"/>
    <w:rsid w:val="007160E9"/>
    <w:rsid w:val="00720B6C"/>
    <w:rsid w:val="00723406"/>
    <w:rsid w:val="00725255"/>
    <w:rsid w:val="007358B0"/>
    <w:rsid w:val="00762625"/>
    <w:rsid w:val="00763BB3"/>
    <w:rsid w:val="00766456"/>
    <w:rsid w:val="00770D4F"/>
    <w:rsid w:val="00775F2A"/>
    <w:rsid w:val="00777014"/>
    <w:rsid w:val="00777F2A"/>
    <w:rsid w:val="007845DC"/>
    <w:rsid w:val="00784E3B"/>
    <w:rsid w:val="00785A34"/>
    <w:rsid w:val="00786273"/>
    <w:rsid w:val="007929D1"/>
    <w:rsid w:val="007935A4"/>
    <w:rsid w:val="00793E5A"/>
    <w:rsid w:val="007B0B84"/>
    <w:rsid w:val="007C160A"/>
    <w:rsid w:val="007C61D2"/>
    <w:rsid w:val="007E2EAE"/>
    <w:rsid w:val="007E5088"/>
    <w:rsid w:val="007F6B00"/>
    <w:rsid w:val="007F7B8A"/>
    <w:rsid w:val="007F7F13"/>
    <w:rsid w:val="008027A9"/>
    <w:rsid w:val="00804CCF"/>
    <w:rsid w:val="0081022B"/>
    <w:rsid w:val="00816759"/>
    <w:rsid w:val="00816D40"/>
    <w:rsid w:val="00825B09"/>
    <w:rsid w:val="0082624B"/>
    <w:rsid w:val="00827AF2"/>
    <w:rsid w:val="0083248A"/>
    <w:rsid w:val="008328E3"/>
    <w:rsid w:val="00833593"/>
    <w:rsid w:val="00835694"/>
    <w:rsid w:val="00845429"/>
    <w:rsid w:val="00846BB4"/>
    <w:rsid w:val="00847169"/>
    <w:rsid w:val="0084733C"/>
    <w:rsid w:val="00847899"/>
    <w:rsid w:val="00852870"/>
    <w:rsid w:val="00860621"/>
    <w:rsid w:val="00864465"/>
    <w:rsid w:val="00864A4A"/>
    <w:rsid w:val="008715A3"/>
    <w:rsid w:val="0087630D"/>
    <w:rsid w:val="00886454"/>
    <w:rsid w:val="00897149"/>
    <w:rsid w:val="008A7F74"/>
    <w:rsid w:val="008B798C"/>
    <w:rsid w:val="008C6D01"/>
    <w:rsid w:val="008D0252"/>
    <w:rsid w:val="008D2342"/>
    <w:rsid w:val="008D28CC"/>
    <w:rsid w:val="008E50CB"/>
    <w:rsid w:val="008F2A9A"/>
    <w:rsid w:val="008F2D77"/>
    <w:rsid w:val="009045B3"/>
    <w:rsid w:val="00906E1F"/>
    <w:rsid w:val="00915088"/>
    <w:rsid w:val="00915B3C"/>
    <w:rsid w:val="0091792F"/>
    <w:rsid w:val="0092217C"/>
    <w:rsid w:val="009241F3"/>
    <w:rsid w:val="00925236"/>
    <w:rsid w:val="009302D7"/>
    <w:rsid w:val="00931F65"/>
    <w:rsid w:val="00940672"/>
    <w:rsid w:val="00945878"/>
    <w:rsid w:val="009458F7"/>
    <w:rsid w:val="009501BB"/>
    <w:rsid w:val="00963C90"/>
    <w:rsid w:val="00970D89"/>
    <w:rsid w:val="009714D9"/>
    <w:rsid w:val="00973A58"/>
    <w:rsid w:val="009824EA"/>
    <w:rsid w:val="009866D6"/>
    <w:rsid w:val="009916F7"/>
    <w:rsid w:val="00997CA5"/>
    <w:rsid w:val="009A0EB6"/>
    <w:rsid w:val="009A2D06"/>
    <w:rsid w:val="009A31E9"/>
    <w:rsid w:val="009A46A4"/>
    <w:rsid w:val="009B79CB"/>
    <w:rsid w:val="009C0FBD"/>
    <w:rsid w:val="009C10C5"/>
    <w:rsid w:val="009C329C"/>
    <w:rsid w:val="009C6795"/>
    <w:rsid w:val="009D10E1"/>
    <w:rsid w:val="009D5A77"/>
    <w:rsid w:val="009E328F"/>
    <w:rsid w:val="009E4318"/>
    <w:rsid w:val="009F1BEC"/>
    <w:rsid w:val="00A00BDE"/>
    <w:rsid w:val="00A06132"/>
    <w:rsid w:val="00A1183C"/>
    <w:rsid w:val="00A123DC"/>
    <w:rsid w:val="00A13735"/>
    <w:rsid w:val="00A13CE3"/>
    <w:rsid w:val="00A148CF"/>
    <w:rsid w:val="00A16956"/>
    <w:rsid w:val="00A16A61"/>
    <w:rsid w:val="00A20354"/>
    <w:rsid w:val="00A22206"/>
    <w:rsid w:val="00A256E6"/>
    <w:rsid w:val="00A30A34"/>
    <w:rsid w:val="00A37A23"/>
    <w:rsid w:val="00A42D13"/>
    <w:rsid w:val="00A45267"/>
    <w:rsid w:val="00A462E0"/>
    <w:rsid w:val="00A51E49"/>
    <w:rsid w:val="00A61399"/>
    <w:rsid w:val="00A66BFD"/>
    <w:rsid w:val="00A6711D"/>
    <w:rsid w:val="00A703D2"/>
    <w:rsid w:val="00A72DA6"/>
    <w:rsid w:val="00A8182A"/>
    <w:rsid w:val="00A85E9C"/>
    <w:rsid w:val="00A86847"/>
    <w:rsid w:val="00A87153"/>
    <w:rsid w:val="00AA35DD"/>
    <w:rsid w:val="00AA56FB"/>
    <w:rsid w:val="00AB544F"/>
    <w:rsid w:val="00AB64FC"/>
    <w:rsid w:val="00AD07E5"/>
    <w:rsid w:val="00AF5A37"/>
    <w:rsid w:val="00B01563"/>
    <w:rsid w:val="00B114CD"/>
    <w:rsid w:val="00B13E95"/>
    <w:rsid w:val="00B15E05"/>
    <w:rsid w:val="00B213E4"/>
    <w:rsid w:val="00B23615"/>
    <w:rsid w:val="00B23E59"/>
    <w:rsid w:val="00B25078"/>
    <w:rsid w:val="00B25D32"/>
    <w:rsid w:val="00B3149D"/>
    <w:rsid w:val="00B31F1B"/>
    <w:rsid w:val="00B32C3F"/>
    <w:rsid w:val="00B358D6"/>
    <w:rsid w:val="00B35C00"/>
    <w:rsid w:val="00B378FA"/>
    <w:rsid w:val="00B43F22"/>
    <w:rsid w:val="00B46D01"/>
    <w:rsid w:val="00B55473"/>
    <w:rsid w:val="00B605D2"/>
    <w:rsid w:val="00B63018"/>
    <w:rsid w:val="00B64B7A"/>
    <w:rsid w:val="00B70B19"/>
    <w:rsid w:val="00B72CB5"/>
    <w:rsid w:val="00B73552"/>
    <w:rsid w:val="00B753F9"/>
    <w:rsid w:val="00B75DC3"/>
    <w:rsid w:val="00B81528"/>
    <w:rsid w:val="00B8612F"/>
    <w:rsid w:val="00B87B87"/>
    <w:rsid w:val="00B91DF5"/>
    <w:rsid w:val="00BA1029"/>
    <w:rsid w:val="00BA3FCB"/>
    <w:rsid w:val="00BB2F29"/>
    <w:rsid w:val="00BB4181"/>
    <w:rsid w:val="00BB4AC0"/>
    <w:rsid w:val="00BB5ABF"/>
    <w:rsid w:val="00BC5167"/>
    <w:rsid w:val="00BD1B21"/>
    <w:rsid w:val="00BD2B56"/>
    <w:rsid w:val="00BD3A3F"/>
    <w:rsid w:val="00BD66B8"/>
    <w:rsid w:val="00BD678C"/>
    <w:rsid w:val="00BE2660"/>
    <w:rsid w:val="00BF665E"/>
    <w:rsid w:val="00BF77B5"/>
    <w:rsid w:val="00C03A03"/>
    <w:rsid w:val="00C14CD3"/>
    <w:rsid w:val="00C2049F"/>
    <w:rsid w:val="00C20A6E"/>
    <w:rsid w:val="00C31027"/>
    <w:rsid w:val="00C31142"/>
    <w:rsid w:val="00C32534"/>
    <w:rsid w:val="00C336F2"/>
    <w:rsid w:val="00C3525A"/>
    <w:rsid w:val="00C362DC"/>
    <w:rsid w:val="00C40259"/>
    <w:rsid w:val="00C40EA0"/>
    <w:rsid w:val="00C470E5"/>
    <w:rsid w:val="00C519AE"/>
    <w:rsid w:val="00C531E1"/>
    <w:rsid w:val="00C57046"/>
    <w:rsid w:val="00C57592"/>
    <w:rsid w:val="00C669DF"/>
    <w:rsid w:val="00C67376"/>
    <w:rsid w:val="00C76AA3"/>
    <w:rsid w:val="00C835B1"/>
    <w:rsid w:val="00C8466A"/>
    <w:rsid w:val="00C84B67"/>
    <w:rsid w:val="00C905D4"/>
    <w:rsid w:val="00C91F61"/>
    <w:rsid w:val="00C93E32"/>
    <w:rsid w:val="00C97D04"/>
    <w:rsid w:val="00CB1204"/>
    <w:rsid w:val="00CC365D"/>
    <w:rsid w:val="00CD0687"/>
    <w:rsid w:val="00CD0EA5"/>
    <w:rsid w:val="00CD3CB7"/>
    <w:rsid w:val="00CD7E53"/>
    <w:rsid w:val="00CF0323"/>
    <w:rsid w:val="00CF7164"/>
    <w:rsid w:val="00D00D3B"/>
    <w:rsid w:val="00D03119"/>
    <w:rsid w:val="00D0479F"/>
    <w:rsid w:val="00D06DBA"/>
    <w:rsid w:val="00D07C10"/>
    <w:rsid w:val="00D1022F"/>
    <w:rsid w:val="00D15671"/>
    <w:rsid w:val="00D25AC2"/>
    <w:rsid w:val="00D25E35"/>
    <w:rsid w:val="00D26B1B"/>
    <w:rsid w:val="00D27937"/>
    <w:rsid w:val="00D27E5D"/>
    <w:rsid w:val="00D41949"/>
    <w:rsid w:val="00D46369"/>
    <w:rsid w:val="00D50C07"/>
    <w:rsid w:val="00D572C2"/>
    <w:rsid w:val="00D578E9"/>
    <w:rsid w:val="00D64DEC"/>
    <w:rsid w:val="00D674FB"/>
    <w:rsid w:val="00D708BF"/>
    <w:rsid w:val="00D74865"/>
    <w:rsid w:val="00D913DC"/>
    <w:rsid w:val="00D9331A"/>
    <w:rsid w:val="00D94545"/>
    <w:rsid w:val="00D9551E"/>
    <w:rsid w:val="00D96C77"/>
    <w:rsid w:val="00DB0F06"/>
    <w:rsid w:val="00DB10F7"/>
    <w:rsid w:val="00DB18D8"/>
    <w:rsid w:val="00DB4F41"/>
    <w:rsid w:val="00DC1298"/>
    <w:rsid w:val="00DC36A4"/>
    <w:rsid w:val="00DC7A13"/>
    <w:rsid w:val="00DC7A35"/>
    <w:rsid w:val="00DC7D98"/>
    <w:rsid w:val="00DE1B40"/>
    <w:rsid w:val="00DE5812"/>
    <w:rsid w:val="00DF44EF"/>
    <w:rsid w:val="00DF5A9B"/>
    <w:rsid w:val="00DF5EC8"/>
    <w:rsid w:val="00E1137F"/>
    <w:rsid w:val="00E17392"/>
    <w:rsid w:val="00E263D8"/>
    <w:rsid w:val="00E37B81"/>
    <w:rsid w:val="00E44637"/>
    <w:rsid w:val="00E45D9A"/>
    <w:rsid w:val="00E45EB5"/>
    <w:rsid w:val="00E54524"/>
    <w:rsid w:val="00E603C6"/>
    <w:rsid w:val="00E60BC6"/>
    <w:rsid w:val="00E65E30"/>
    <w:rsid w:val="00E753D8"/>
    <w:rsid w:val="00E82481"/>
    <w:rsid w:val="00E839D0"/>
    <w:rsid w:val="00E85DC0"/>
    <w:rsid w:val="00E909C0"/>
    <w:rsid w:val="00E92288"/>
    <w:rsid w:val="00E95358"/>
    <w:rsid w:val="00E963C6"/>
    <w:rsid w:val="00E972BE"/>
    <w:rsid w:val="00EB7B32"/>
    <w:rsid w:val="00EC2D7F"/>
    <w:rsid w:val="00EC387F"/>
    <w:rsid w:val="00ED0888"/>
    <w:rsid w:val="00ED22C4"/>
    <w:rsid w:val="00ED46D4"/>
    <w:rsid w:val="00ED622A"/>
    <w:rsid w:val="00EE33E8"/>
    <w:rsid w:val="00EE4A8D"/>
    <w:rsid w:val="00EF167D"/>
    <w:rsid w:val="00EF1AFB"/>
    <w:rsid w:val="00EF5469"/>
    <w:rsid w:val="00EF5672"/>
    <w:rsid w:val="00F03266"/>
    <w:rsid w:val="00F03576"/>
    <w:rsid w:val="00F03F3F"/>
    <w:rsid w:val="00F06721"/>
    <w:rsid w:val="00F075FF"/>
    <w:rsid w:val="00F11147"/>
    <w:rsid w:val="00F128AE"/>
    <w:rsid w:val="00F134ED"/>
    <w:rsid w:val="00F20DD4"/>
    <w:rsid w:val="00F2541B"/>
    <w:rsid w:val="00F27CE7"/>
    <w:rsid w:val="00F34F9B"/>
    <w:rsid w:val="00F410F9"/>
    <w:rsid w:val="00F420B0"/>
    <w:rsid w:val="00F46D9B"/>
    <w:rsid w:val="00F4718E"/>
    <w:rsid w:val="00F54CA5"/>
    <w:rsid w:val="00F65B12"/>
    <w:rsid w:val="00F714B2"/>
    <w:rsid w:val="00F73DF7"/>
    <w:rsid w:val="00F74EBD"/>
    <w:rsid w:val="00F777BE"/>
    <w:rsid w:val="00F81262"/>
    <w:rsid w:val="00F8243B"/>
    <w:rsid w:val="00F82965"/>
    <w:rsid w:val="00F85551"/>
    <w:rsid w:val="00F913CB"/>
    <w:rsid w:val="00F92FB3"/>
    <w:rsid w:val="00F93C4E"/>
    <w:rsid w:val="00F96FD0"/>
    <w:rsid w:val="00FA468E"/>
    <w:rsid w:val="00FA6AD7"/>
    <w:rsid w:val="00FA71D9"/>
    <w:rsid w:val="00FC1FBA"/>
    <w:rsid w:val="00FC42CF"/>
    <w:rsid w:val="00FC515E"/>
    <w:rsid w:val="00FC5599"/>
    <w:rsid w:val="00FC70FD"/>
    <w:rsid w:val="00FD31B5"/>
    <w:rsid w:val="00FD487D"/>
    <w:rsid w:val="00FE5675"/>
    <w:rsid w:val="00FE66CB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63018"/>
    <w:pPr>
      <w:ind w:leftChars="200" w:left="480"/>
    </w:pPr>
  </w:style>
  <w:style w:type="paragraph" w:styleId="Web">
    <w:name w:val="Normal (Web)"/>
    <w:basedOn w:val="a"/>
    <w:semiHidden/>
    <w:rsid w:val="00413D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rsid w:val="0007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92DF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59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92DF9"/>
    <w:rPr>
      <w:rFonts w:cs="Times New Roman"/>
      <w:sz w:val="20"/>
      <w:szCs w:val="20"/>
    </w:rPr>
  </w:style>
  <w:style w:type="paragraph" w:styleId="a8">
    <w:name w:val="Balloon Text"/>
    <w:basedOn w:val="a"/>
    <w:link w:val="a9"/>
    <w:semiHidden/>
    <w:rsid w:val="008262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82624B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A66B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A66BFD"/>
    <w:rPr>
      <w:rFonts w:ascii="細明體" w:eastAsia="細明體" w:hAnsi="細明體" w:cs="細明體"/>
      <w:kern w:val="0"/>
      <w:sz w:val="24"/>
      <w:szCs w:val="24"/>
    </w:rPr>
  </w:style>
  <w:style w:type="paragraph" w:styleId="aa">
    <w:name w:val="Plain Text"/>
    <w:basedOn w:val="a"/>
    <w:rsid w:val="00A00BDE"/>
    <w:rPr>
      <w:rFonts w:ascii="細明體" w:eastAsia="細明體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C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63018"/>
    <w:pPr>
      <w:ind w:leftChars="200" w:left="480"/>
    </w:pPr>
  </w:style>
  <w:style w:type="paragraph" w:styleId="Web">
    <w:name w:val="Normal (Web)"/>
    <w:basedOn w:val="a"/>
    <w:semiHidden/>
    <w:rsid w:val="00413D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rsid w:val="0007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92DF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592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92DF9"/>
    <w:rPr>
      <w:rFonts w:cs="Times New Roman"/>
      <w:sz w:val="20"/>
      <w:szCs w:val="20"/>
    </w:rPr>
  </w:style>
  <w:style w:type="paragraph" w:styleId="a8">
    <w:name w:val="Balloon Text"/>
    <w:basedOn w:val="a"/>
    <w:link w:val="a9"/>
    <w:semiHidden/>
    <w:rsid w:val="008262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82624B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A66B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A66BFD"/>
    <w:rPr>
      <w:rFonts w:ascii="細明體" w:eastAsia="細明體" w:hAnsi="細明體" w:cs="細明體"/>
      <w:kern w:val="0"/>
      <w:sz w:val="24"/>
      <w:szCs w:val="24"/>
    </w:rPr>
  </w:style>
  <w:style w:type="paragraph" w:styleId="aa">
    <w:name w:val="Plain Text"/>
    <w:basedOn w:val="a"/>
    <w:rsid w:val="00A00BDE"/>
    <w:rPr>
      <w:rFonts w:ascii="細明體" w:eastAsia="細明體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會計憑證保管調閱及銷毀應行注意事項草案總說明</dc:title>
  <dc:creator>黃志翔</dc:creator>
  <cp:lastModifiedBy>Netdo</cp:lastModifiedBy>
  <cp:revision>2</cp:revision>
  <cp:lastPrinted>2016-03-08T08:32:00Z</cp:lastPrinted>
  <dcterms:created xsi:type="dcterms:W3CDTF">2017-06-08T07:17:00Z</dcterms:created>
  <dcterms:modified xsi:type="dcterms:W3CDTF">2017-06-08T07:17:00Z</dcterms:modified>
</cp:coreProperties>
</file>