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6F" w:rsidRDefault="00BF276F" w:rsidP="008F6432">
      <w:pPr>
        <w:autoSpaceDE w:val="0"/>
        <w:autoSpaceDN w:val="0"/>
        <w:adjustRightInd w:val="0"/>
        <w:spacing w:line="440" w:lineRule="exact"/>
        <w:jc w:val="center"/>
        <w:rPr>
          <w:rFonts w:ascii="標楷體" w:eastAsia="標楷體" w:cs="標楷體"/>
          <w:b/>
          <w:bCs/>
          <w:sz w:val="36"/>
          <w:szCs w:val="36"/>
          <w:lang w:val="zh-TW"/>
        </w:rPr>
      </w:pPr>
      <w:r>
        <w:rPr>
          <w:rFonts w:ascii="標楷體" w:eastAsia="標楷體" w:cs="標楷體" w:hint="eastAsia"/>
          <w:b/>
          <w:bCs/>
          <w:sz w:val="36"/>
          <w:szCs w:val="36"/>
          <w:lang w:val="zh-TW"/>
        </w:rPr>
        <w:t>連江縣</w:t>
      </w:r>
      <w:r w:rsidRPr="00F827D0">
        <w:rPr>
          <w:rFonts w:ascii="標楷體" w:eastAsia="標楷體" w:cs="標楷體" w:hint="eastAsia"/>
          <w:b/>
          <w:bCs/>
          <w:sz w:val="36"/>
          <w:szCs w:val="36"/>
          <w:lang w:val="zh-TW"/>
        </w:rPr>
        <w:t>政府強化內部控制實施方案</w:t>
      </w:r>
    </w:p>
    <w:p w:rsidR="00BF276F" w:rsidRPr="00A44FC6" w:rsidRDefault="00BF276F" w:rsidP="007F2ECD">
      <w:pPr>
        <w:autoSpaceDE w:val="0"/>
        <w:autoSpaceDN w:val="0"/>
        <w:adjustRightInd w:val="0"/>
        <w:spacing w:line="440" w:lineRule="exact"/>
        <w:ind w:firstLineChars="2300" w:firstLine="5520"/>
        <w:jc w:val="distribute"/>
        <w:rPr>
          <w:rFonts w:ascii="標楷體" w:eastAsia="標楷體" w:cs="標楷體"/>
          <w:bCs/>
          <w:szCs w:val="24"/>
          <w:lang w:val="zh-TW"/>
        </w:rPr>
      </w:pPr>
      <w:r w:rsidRPr="00A44FC6">
        <w:rPr>
          <w:rFonts w:ascii="標楷體" w:eastAsia="標楷體" w:cs="標楷體" w:hint="eastAsia"/>
          <w:bCs/>
          <w:szCs w:val="24"/>
          <w:lang w:val="zh-TW"/>
        </w:rPr>
        <w:t>中</w:t>
      </w:r>
      <w:r>
        <w:rPr>
          <w:rFonts w:ascii="標楷體" w:eastAsia="標楷體" w:cs="標楷體"/>
          <w:bCs/>
          <w:szCs w:val="24"/>
          <w:lang w:val="zh-TW"/>
        </w:rPr>
        <w:t xml:space="preserve"> </w:t>
      </w:r>
      <w:r w:rsidRPr="00A44FC6">
        <w:rPr>
          <w:rFonts w:ascii="標楷體" w:eastAsia="標楷體" w:cs="標楷體" w:hint="eastAsia"/>
          <w:bCs/>
          <w:szCs w:val="24"/>
          <w:lang w:val="zh-TW"/>
        </w:rPr>
        <w:t>華</w:t>
      </w:r>
      <w:r>
        <w:rPr>
          <w:rFonts w:ascii="標楷體" w:eastAsia="標楷體" w:cs="標楷體"/>
          <w:bCs/>
          <w:szCs w:val="24"/>
          <w:lang w:val="zh-TW"/>
        </w:rPr>
        <w:t xml:space="preserve"> </w:t>
      </w:r>
      <w:r w:rsidRPr="00A44FC6">
        <w:rPr>
          <w:rFonts w:ascii="標楷體" w:eastAsia="標楷體" w:cs="標楷體" w:hint="eastAsia"/>
          <w:bCs/>
          <w:szCs w:val="24"/>
          <w:lang w:val="zh-TW"/>
        </w:rPr>
        <w:t>民</w:t>
      </w:r>
      <w:r>
        <w:rPr>
          <w:rFonts w:ascii="標楷體" w:eastAsia="標楷體" w:cs="標楷體"/>
          <w:bCs/>
          <w:szCs w:val="24"/>
          <w:lang w:val="zh-TW"/>
        </w:rPr>
        <w:t xml:space="preserve"> </w:t>
      </w:r>
      <w:r w:rsidRPr="00A44FC6">
        <w:rPr>
          <w:rFonts w:ascii="標楷體" w:eastAsia="標楷體" w:cs="標楷體" w:hint="eastAsia"/>
          <w:bCs/>
          <w:szCs w:val="24"/>
          <w:lang w:val="zh-TW"/>
        </w:rPr>
        <w:t>國</w:t>
      </w:r>
      <w:r>
        <w:rPr>
          <w:rFonts w:ascii="標楷體" w:eastAsia="標楷體" w:cs="標楷體"/>
          <w:bCs/>
          <w:szCs w:val="24"/>
          <w:lang w:val="zh-TW"/>
        </w:rPr>
        <w:t xml:space="preserve"> </w:t>
      </w:r>
      <w:r w:rsidRPr="00A44FC6">
        <w:rPr>
          <w:rFonts w:ascii="標楷體" w:eastAsia="標楷體" w:cs="標楷體"/>
          <w:bCs/>
          <w:szCs w:val="24"/>
          <w:lang w:val="zh-TW"/>
        </w:rPr>
        <w:t>104</w:t>
      </w:r>
      <w:r>
        <w:rPr>
          <w:rFonts w:ascii="標楷體" w:eastAsia="標楷體" w:cs="標楷體"/>
          <w:bCs/>
          <w:szCs w:val="24"/>
          <w:lang w:val="zh-TW"/>
        </w:rPr>
        <w:t xml:space="preserve"> </w:t>
      </w:r>
      <w:r w:rsidRPr="00A44FC6">
        <w:rPr>
          <w:rFonts w:ascii="標楷體" w:eastAsia="標楷體" w:cs="標楷體" w:hint="eastAsia"/>
          <w:bCs/>
          <w:szCs w:val="24"/>
          <w:lang w:val="zh-TW"/>
        </w:rPr>
        <w:t>年</w:t>
      </w:r>
      <w:r>
        <w:rPr>
          <w:rFonts w:ascii="標楷體" w:eastAsia="標楷體" w:cs="標楷體"/>
          <w:bCs/>
          <w:szCs w:val="24"/>
          <w:lang w:val="zh-TW"/>
        </w:rPr>
        <w:t xml:space="preserve"> 9 </w:t>
      </w:r>
      <w:r w:rsidRPr="00A44FC6">
        <w:rPr>
          <w:rFonts w:ascii="標楷體" w:eastAsia="標楷體" w:cs="標楷體" w:hint="eastAsia"/>
          <w:bCs/>
          <w:szCs w:val="24"/>
          <w:lang w:val="zh-TW"/>
        </w:rPr>
        <w:t>月</w:t>
      </w:r>
      <w:r>
        <w:rPr>
          <w:rFonts w:ascii="標楷體" w:eastAsia="標楷體" w:cs="標楷體"/>
          <w:bCs/>
          <w:szCs w:val="24"/>
          <w:lang w:val="zh-TW"/>
        </w:rPr>
        <w:t xml:space="preserve"> </w:t>
      </w:r>
      <w:r w:rsidRPr="00A44FC6">
        <w:rPr>
          <w:rFonts w:ascii="標楷體" w:eastAsia="標楷體" w:cs="標楷體"/>
          <w:bCs/>
          <w:szCs w:val="24"/>
          <w:lang w:val="zh-TW"/>
        </w:rPr>
        <w:t>1</w:t>
      </w:r>
      <w:r>
        <w:rPr>
          <w:rFonts w:ascii="標楷體" w:eastAsia="標楷體" w:cs="標楷體"/>
          <w:bCs/>
          <w:szCs w:val="24"/>
          <w:lang w:val="zh-TW"/>
        </w:rPr>
        <w:t xml:space="preserve">6 </w:t>
      </w:r>
      <w:r w:rsidRPr="00A44FC6">
        <w:rPr>
          <w:rFonts w:ascii="標楷體" w:eastAsia="標楷體" w:cs="標楷體" w:hint="eastAsia"/>
          <w:bCs/>
          <w:szCs w:val="24"/>
          <w:lang w:val="zh-TW"/>
        </w:rPr>
        <w:t>日</w:t>
      </w:r>
    </w:p>
    <w:p w:rsidR="00D61692" w:rsidRDefault="00BF276F" w:rsidP="007F2ECD">
      <w:pPr>
        <w:autoSpaceDE w:val="0"/>
        <w:autoSpaceDN w:val="0"/>
        <w:adjustRightInd w:val="0"/>
        <w:spacing w:line="440" w:lineRule="exact"/>
        <w:ind w:firstLineChars="2300" w:firstLine="5520"/>
        <w:jc w:val="distribute"/>
        <w:rPr>
          <w:rFonts w:ascii="標楷體" w:eastAsia="標楷體" w:cs="標楷體"/>
          <w:bCs/>
          <w:szCs w:val="24"/>
          <w:lang w:val="zh-TW"/>
        </w:rPr>
      </w:pPr>
      <w:r w:rsidRPr="00A44FC6">
        <w:rPr>
          <w:rFonts w:ascii="標楷體" w:eastAsia="標楷體" w:cs="標楷體" w:hint="eastAsia"/>
          <w:bCs/>
          <w:szCs w:val="24"/>
          <w:lang w:val="zh-TW"/>
        </w:rPr>
        <w:t>連主一字第</w:t>
      </w:r>
      <w:r w:rsidRPr="00A44FC6">
        <w:rPr>
          <w:rFonts w:ascii="標楷體" w:eastAsia="標楷體" w:cs="標楷體"/>
          <w:bCs/>
          <w:szCs w:val="24"/>
          <w:lang w:val="zh-TW"/>
        </w:rPr>
        <w:t>10400</w:t>
      </w:r>
      <w:r>
        <w:rPr>
          <w:rFonts w:ascii="標楷體" w:eastAsia="標楷體" w:cs="標楷體"/>
          <w:bCs/>
          <w:szCs w:val="24"/>
          <w:lang w:val="zh-TW"/>
        </w:rPr>
        <w:t>39521</w:t>
      </w:r>
      <w:r w:rsidRPr="00A44FC6">
        <w:rPr>
          <w:rFonts w:ascii="標楷體" w:eastAsia="標楷體" w:cs="標楷體" w:hint="eastAsia"/>
          <w:bCs/>
          <w:szCs w:val="24"/>
          <w:lang w:val="zh-TW"/>
        </w:rPr>
        <w:t>號函訂定</w:t>
      </w:r>
    </w:p>
    <w:p w:rsidR="00D61692" w:rsidRPr="00A44FC6" w:rsidRDefault="00D61692" w:rsidP="00D61692">
      <w:pPr>
        <w:autoSpaceDE w:val="0"/>
        <w:autoSpaceDN w:val="0"/>
        <w:adjustRightInd w:val="0"/>
        <w:spacing w:line="440" w:lineRule="exact"/>
        <w:ind w:firstLineChars="2300" w:firstLine="5520"/>
        <w:jc w:val="distribute"/>
        <w:rPr>
          <w:rFonts w:ascii="標楷體" w:eastAsia="標楷體" w:cs="標楷體"/>
          <w:bCs/>
          <w:szCs w:val="24"/>
          <w:lang w:val="zh-TW"/>
        </w:rPr>
      </w:pPr>
      <w:r w:rsidRPr="00A44FC6">
        <w:rPr>
          <w:rFonts w:ascii="標楷體" w:eastAsia="標楷體" w:cs="標楷體" w:hint="eastAsia"/>
          <w:bCs/>
          <w:szCs w:val="24"/>
          <w:lang w:val="zh-TW"/>
        </w:rPr>
        <w:t>中</w:t>
      </w:r>
      <w:r>
        <w:rPr>
          <w:rFonts w:ascii="標楷體" w:eastAsia="標楷體" w:cs="標楷體"/>
          <w:bCs/>
          <w:szCs w:val="24"/>
          <w:lang w:val="zh-TW"/>
        </w:rPr>
        <w:t xml:space="preserve"> </w:t>
      </w:r>
      <w:r w:rsidRPr="00A44FC6">
        <w:rPr>
          <w:rFonts w:ascii="標楷體" w:eastAsia="標楷體" w:cs="標楷體" w:hint="eastAsia"/>
          <w:bCs/>
          <w:szCs w:val="24"/>
          <w:lang w:val="zh-TW"/>
        </w:rPr>
        <w:t>華</w:t>
      </w:r>
      <w:r>
        <w:rPr>
          <w:rFonts w:ascii="標楷體" w:eastAsia="標楷體" w:cs="標楷體"/>
          <w:bCs/>
          <w:szCs w:val="24"/>
          <w:lang w:val="zh-TW"/>
        </w:rPr>
        <w:t xml:space="preserve"> </w:t>
      </w:r>
      <w:r w:rsidRPr="00A44FC6">
        <w:rPr>
          <w:rFonts w:ascii="標楷體" w:eastAsia="標楷體" w:cs="標楷體" w:hint="eastAsia"/>
          <w:bCs/>
          <w:szCs w:val="24"/>
          <w:lang w:val="zh-TW"/>
        </w:rPr>
        <w:t>民</w:t>
      </w:r>
      <w:r>
        <w:rPr>
          <w:rFonts w:ascii="標楷體" w:eastAsia="標楷體" w:cs="標楷體"/>
          <w:bCs/>
          <w:szCs w:val="24"/>
          <w:lang w:val="zh-TW"/>
        </w:rPr>
        <w:t xml:space="preserve"> </w:t>
      </w:r>
      <w:r w:rsidRPr="00A44FC6">
        <w:rPr>
          <w:rFonts w:ascii="標楷體" w:eastAsia="標楷體" w:cs="標楷體" w:hint="eastAsia"/>
          <w:bCs/>
          <w:szCs w:val="24"/>
          <w:lang w:val="zh-TW"/>
        </w:rPr>
        <w:t>國</w:t>
      </w:r>
      <w:r>
        <w:rPr>
          <w:rFonts w:ascii="標楷體" w:eastAsia="標楷體" w:cs="標楷體"/>
          <w:bCs/>
          <w:szCs w:val="24"/>
          <w:lang w:val="zh-TW"/>
        </w:rPr>
        <w:t xml:space="preserve"> </w:t>
      </w:r>
      <w:r w:rsidRPr="00A44FC6">
        <w:rPr>
          <w:rFonts w:ascii="標楷體" w:eastAsia="標楷體" w:cs="標楷體"/>
          <w:bCs/>
          <w:szCs w:val="24"/>
          <w:lang w:val="zh-TW"/>
        </w:rPr>
        <w:t>10</w:t>
      </w:r>
      <w:r>
        <w:rPr>
          <w:rFonts w:ascii="標楷體" w:eastAsia="標楷體" w:cs="標楷體" w:hint="eastAsia"/>
          <w:bCs/>
          <w:szCs w:val="24"/>
          <w:lang w:val="zh-TW"/>
        </w:rPr>
        <w:t>6</w:t>
      </w:r>
      <w:r>
        <w:rPr>
          <w:rFonts w:ascii="標楷體" w:eastAsia="標楷體" w:cs="標楷體"/>
          <w:bCs/>
          <w:szCs w:val="24"/>
          <w:lang w:val="zh-TW"/>
        </w:rPr>
        <w:t xml:space="preserve"> </w:t>
      </w:r>
      <w:r w:rsidRPr="00A44FC6">
        <w:rPr>
          <w:rFonts w:ascii="標楷體" w:eastAsia="標楷體" w:cs="標楷體" w:hint="eastAsia"/>
          <w:bCs/>
          <w:szCs w:val="24"/>
          <w:lang w:val="zh-TW"/>
        </w:rPr>
        <w:t>年</w:t>
      </w:r>
      <w:r>
        <w:rPr>
          <w:rFonts w:ascii="標楷體" w:eastAsia="標楷體" w:cs="標楷體"/>
          <w:bCs/>
          <w:szCs w:val="24"/>
          <w:lang w:val="zh-TW"/>
        </w:rPr>
        <w:t xml:space="preserve"> </w:t>
      </w:r>
      <w:r>
        <w:rPr>
          <w:rFonts w:ascii="標楷體" w:eastAsia="標楷體" w:cs="標楷體" w:hint="eastAsia"/>
          <w:bCs/>
          <w:szCs w:val="24"/>
          <w:lang w:val="zh-TW"/>
        </w:rPr>
        <w:t>2</w:t>
      </w:r>
      <w:r>
        <w:rPr>
          <w:rFonts w:ascii="標楷體" w:eastAsia="標楷體" w:cs="標楷體"/>
          <w:bCs/>
          <w:szCs w:val="24"/>
          <w:lang w:val="zh-TW"/>
        </w:rPr>
        <w:t xml:space="preserve"> </w:t>
      </w:r>
      <w:r w:rsidRPr="00A44FC6">
        <w:rPr>
          <w:rFonts w:ascii="標楷體" w:eastAsia="標楷體" w:cs="標楷體" w:hint="eastAsia"/>
          <w:bCs/>
          <w:szCs w:val="24"/>
          <w:lang w:val="zh-TW"/>
        </w:rPr>
        <w:t>月</w:t>
      </w:r>
      <w:r w:rsidR="004608D6">
        <w:rPr>
          <w:rFonts w:ascii="標楷體" w:eastAsia="標楷體" w:cs="標楷體" w:hint="eastAsia"/>
          <w:bCs/>
          <w:szCs w:val="24"/>
          <w:lang w:val="zh-TW"/>
        </w:rPr>
        <w:t>21</w:t>
      </w:r>
      <w:r w:rsidRPr="00A44FC6">
        <w:rPr>
          <w:rFonts w:ascii="標楷體" w:eastAsia="標楷體" w:cs="標楷體" w:hint="eastAsia"/>
          <w:bCs/>
          <w:szCs w:val="24"/>
          <w:lang w:val="zh-TW"/>
        </w:rPr>
        <w:t>日</w:t>
      </w:r>
    </w:p>
    <w:p w:rsidR="00D61692" w:rsidRDefault="004608D6" w:rsidP="00D61692">
      <w:pPr>
        <w:autoSpaceDE w:val="0"/>
        <w:autoSpaceDN w:val="0"/>
        <w:adjustRightInd w:val="0"/>
        <w:spacing w:line="440" w:lineRule="exact"/>
        <w:ind w:firstLineChars="2300" w:firstLine="5520"/>
        <w:jc w:val="distribute"/>
        <w:rPr>
          <w:rFonts w:ascii="標楷體" w:eastAsia="標楷體" w:cs="標楷體"/>
          <w:bCs/>
          <w:szCs w:val="24"/>
          <w:lang w:val="zh-TW"/>
        </w:rPr>
      </w:pPr>
      <w:r w:rsidRPr="004608D6">
        <w:rPr>
          <w:rFonts w:ascii="標楷體" w:eastAsia="標楷體" w:cs="標楷體"/>
          <w:bCs/>
          <w:szCs w:val="24"/>
          <w:lang w:val="zh-TW"/>
        </w:rPr>
        <w:t>府主歲字第1060007047號</w:t>
      </w:r>
      <w:r w:rsidR="004D65F4">
        <w:rPr>
          <w:rFonts w:ascii="標楷體" w:eastAsia="標楷體" w:cs="標楷體" w:hint="eastAsia"/>
          <w:bCs/>
          <w:szCs w:val="24"/>
          <w:lang w:val="zh-TW"/>
        </w:rPr>
        <w:t>修</w:t>
      </w:r>
      <w:r w:rsidR="00D61692" w:rsidRPr="00A44FC6">
        <w:rPr>
          <w:rFonts w:ascii="標楷體" w:eastAsia="標楷體" w:cs="標楷體" w:hint="eastAsia"/>
          <w:bCs/>
          <w:szCs w:val="24"/>
          <w:lang w:val="zh-TW"/>
        </w:rPr>
        <w:t>訂</w:t>
      </w:r>
    </w:p>
    <w:p w:rsidR="00BF276F" w:rsidRPr="00A44FC6" w:rsidRDefault="00BF276F" w:rsidP="007F2ECD">
      <w:pPr>
        <w:autoSpaceDE w:val="0"/>
        <w:autoSpaceDN w:val="0"/>
        <w:adjustRightInd w:val="0"/>
        <w:spacing w:line="440" w:lineRule="exact"/>
        <w:ind w:firstLineChars="2300" w:firstLine="5520"/>
        <w:jc w:val="distribute"/>
        <w:rPr>
          <w:rFonts w:ascii="標楷體" w:eastAsia="標楷體" w:cs="標楷體"/>
          <w:bCs/>
          <w:szCs w:val="24"/>
          <w:lang w:val="zh-TW"/>
        </w:rPr>
      </w:pPr>
    </w:p>
    <w:p w:rsidR="00BF276F" w:rsidRPr="00F827D0" w:rsidRDefault="00BF276F" w:rsidP="00213BDF">
      <w:pPr>
        <w:autoSpaceDE w:val="0"/>
        <w:autoSpaceDN w:val="0"/>
        <w:adjustRightInd w:val="0"/>
        <w:spacing w:line="440" w:lineRule="exact"/>
        <w:ind w:left="566" w:hangingChars="202" w:hanging="566"/>
        <w:jc w:val="both"/>
        <w:rPr>
          <w:rFonts w:ascii="Times New Roman" w:eastAsia="標楷體" w:hAnsi="Times New Roman"/>
          <w:sz w:val="28"/>
          <w:szCs w:val="28"/>
          <w:lang w:val="en-GB"/>
        </w:rPr>
      </w:pPr>
      <w:r w:rsidRPr="007B25E5">
        <w:rPr>
          <w:rFonts w:ascii="標楷體" w:eastAsia="標楷體" w:hAnsi="Times New Roman" w:cs="標楷體" w:hint="eastAsia"/>
          <w:sz w:val="28"/>
          <w:szCs w:val="28"/>
          <w:lang w:val="zh-TW"/>
        </w:rPr>
        <w:t>一、</w:t>
      </w:r>
      <w:r>
        <w:rPr>
          <w:rFonts w:ascii="標楷體" w:eastAsia="標楷體" w:hAnsi="Times New Roman" w:cs="標楷體" w:hint="eastAsia"/>
          <w:sz w:val="28"/>
          <w:szCs w:val="28"/>
          <w:lang w:val="zh-TW"/>
        </w:rPr>
        <w:t>連江縣政府</w:t>
      </w:r>
      <w:r w:rsidRPr="00F827D0">
        <w:rPr>
          <w:rFonts w:ascii="標楷體" w:eastAsia="標楷體" w:hAnsi="Times New Roman" w:cs="標楷體" w:hint="eastAsia"/>
          <w:sz w:val="28"/>
          <w:szCs w:val="28"/>
          <w:lang w:val="zh-TW"/>
        </w:rPr>
        <w:t>（以下簡稱本</w:t>
      </w:r>
      <w:r>
        <w:rPr>
          <w:rFonts w:ascii="標楷體" w:eastAsia="標楷體" w:hAnsi="Times New Roman" w:cs="標楷體" w:hint="eastAsia"/>
          <w:sz w:val="28"/>
          <w:szCs w:val="28"/>
          <w:lang w:val="zh-TW"/>
        </w:rPr>
        <w:t>府</w:t>
      </w:r>
      <w:r w:rsidRPr="00F827D0">
        <w:rPr>
          <w:rFonts w:ascii="標楷體" w:eastAsia="標楷體" w:hAnsi="Times New Roman" w:cs="標楷體" w:hint="eastAsia"/>
          <w:sz w:val="28"/>
          <w:szCs w:val="28"/>
          <w:lang w:val="zh-TW"/>
        </w:rPr>
        <w:t>）為</w:t>
      </w:r>
      <w:r w:rsidRPr="007B25E5">
        <w:rPr>
          <w:rFonts w:ascii="標楷體" w:eastAsia="標楷體" w:hAnsi="標楷體" w:hint="eastAsia"/>
          <w:bCs/>
          <w:sz w:val="28"/>
          <w:szCs w:val="28"/>
          <w:lang w:val="en-GB"/>
        </w:rPr>
        <w:t>合理確保達成政府施政目標</w:t>
      </w:r>
      <w:r w:rsidRPr="001867D3">
        <w:rPr>
          <w:rFonts w:ascii="標楷體" w:eastAsia="標楷體" w:hAnsi="標楷體" w:hint="eastAsia"/>
          <w:bCs/>
          <w:sz w:val="28"/>
          <w:szCs w:val="28"/>
          <w:lang w:val="en-GB"/>
        </w:rPr>
        <w:t>、依法行政及展現廉政肅貪之決心，</w:t>
      </w:r>
      <w:r w:rsidRPr="007B25E5">
        <w:rPr>
          <w:rFonts w:ascii="標楷體" w:eastAsia="標楷體" w:hAnsi="標楷體" w:hint="eastAsia"/>
          <w:bCs/>
          <w:sz w:val="28"/>
          <w:szCs w:val="28"/>
          <w:lang w:val="en-GB"/>
        </w:rPr>
        <w:t>特</w:t>
      </w:r>
      <w:r w:rsidRPr="00F827D0">
        <w:rPr>
          <w:rFonts w:ascii="標楷體" w:eastAsia="標楷體" w:hAnsi="Times New Roman" w:cs="標楷體" w:hint="eastAsia"/>
          <w:sz w:val="28"/>
          <w:szCs w:val="28"/>
          <w:lang w:val="zh-TW"/>
        </w:rPr>
        <w:t>訂定</w:t>
      </w:r>
      <w:r>
        <w:rPr>
          <w:rFonts w:ascii="標楷體" w:eastAsia="標楷體" w:hAnsi="Times New Roman" w:cs="標楷體" w:hint="eastAsia"/>
          <w:sz w:val="28"/>
          <w:szCs w:val="28"/>
          <w:lang w:val="zh-TW"/>
        </w:rPr>
        <w:t>本府</w:t>
      </w:r>
      <w:r w:rsidRPr="00F827D0">
        <w:rPr>
          <w:rFonts w:ascii="標楷體" w:eastAsia="標楷體" w:hAnsi="Times New Roman" w:cs="標楷體" w:hint="eastAsia"/>
          <w:sz w:val="28"/>
          <w:szCs w:val="28"/>
          <w:lang w:val="zh-TW"/>
        </w:rPr>
        <w:t>強化內部控制實施方案（以下簡稱本方案）。</w:t>
      </w:r>
    </w:p>
    <w:p w:rsidR="00BF276F" w:rsidRPr="001867D3" w:rsidRDefault="00BF276F" w:rsidP="003C4C49">
      <w:pPr>
        <w:adjustRightInd w:val="0"/>
        <w:snapToGrid w:val="0"/>
        <w:spacing w:line="460" w:lineRule="exact"/>
        <w:ind w:left="560" w:hangingChars="200" w:hanging="560"/>
        <w:jc w:val="both"/>
        <w:rPr>
          <w:rFonts w:ascii="標楷體" w:eastAsia="標楷體" w:hAnsi="標楷體"/>
          <w:bCs/>
          <w:sz w:val="28"/>
          <w:szCs w:val="28"/>
          <w:lang w:val="en-GB"/>
        </w:rPr>
      </w:pPr>
      <w:r w:rsidRPr="007B25E5">
        <w:rPr>
          <w:rFonts w:ascii="標楷體" w:eastAsia="標楷體" w:hAnsi="標楷體" w:hint="eastAsia"/>
          <w:bCs/>
          <w:sz w:val="28"/>
          <w:szCs w:val="28"/>
          <w:lang w:val="en-GB"/>
        </w:rPr>
        <w:t>二、</w:t>
      </w:r>
      <w:r w:rsidRPr="001867D3">
        <w:rPr>
          <w:rFonts w:ascii="標楷體" w:eastAsia="標楷體" w:hAnsi="標楷體" w:hint="eastAsia"/>
          <w:bCs/>
          <w:sz w:val="28"/>
          <w:szCs w:val="28"/>
          <w:lang w:val="en-GB"/>
        </w:rPr>
        <w:t>本方案之實施，以促進合理確保達成下列四項</w:t>
      </w:r>
      <w:r w:rsidRPr="007B25E5">
        <w:rPr>
          <w:rFonts w:ascii="標楷體" w:eastAsia="標楷體" w:hAnsi="標楷體" w:hint="eastAsia"/>
          <w:bCs/>
          <w:sz w:val="28"/>
          <w:szCs w:val="28"/>
          <w:lang w:val="en-GB"/>
        </w:rPr>
        <w:t>主要</w:t>
      </w:r>
      <w:r w:rsidRPr="001867D3">
        <w:rPr>
          <w:rFonts w:ascii="標楷體" w:eastAsia="標楷體" w:hAnsi="標楷體" w:hint="eastAsia"/>
          <w:bCs/>
          <w:sz w:val="28"/>
          <w:szCs w:val="28"/>
          <w:lang w:val="en-GB"/>
        </w:rPr>
        <w:t>目標：</w:t>
      </w:r>
    </w:p>
    <w:p w:rsidR="00BF276F" w:rsidRPr="001867D3" w:rsidRDefault="00BF276F" w:rsidP="003C4C49">
      <w:pPr>
        <w:adjustRightInd w:val="0"/>
        <w:snapToGrid w:val="0"/>
        <w:spacing w:line="460" w:lineRule="exact"/>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（一）</w:t>
      </w:r>
      <w:r w:rsidRPr="001867D3">
        <w:rPr>
          <w:rFonts w:ascii="標楷體" w:eastAsia="標楷體" w:hAnsi="標楷體" w:cs="Courier New" w:hint="eastAsia"/>
          <w:sz w:val="28"/>
          <w:szCs w:val="28"/>
          <w:lang w:val="en-GB"/>
        </w:rPr>
        <w:t>實現施政效能。</w:t>
      </w:r>
    </w:p>
    <w:p w:rsidR="00BF276F" w:rsidRPr="007B25E5" w:rsidRDefault="00BF276F" w:rsidP="003C4C49">
      <w:pPr>
        <w:adjustRightInd w:val="0"/>
        <w:snapToGrid w:val="0"/>
        <w:spacing w:line="460" w:lineRule="exact"/>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（二）提供可靠資訊。</w:t>
      </w:r>
    </w:p>
    <w:p w:rsidR="00BF276F" w:rsidRPr="007B25E5" w:rsidRDefault="00BF276F" w:rsidP="003C4C49">
      <w:pPr>
        <w:adjustRightInd w:val="0"/>
        <w:snapToGrid w:val="0"/>
        <w:spacing w:line="460" w:lineRule="exact"/>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（三）遵循法令規定。</w:t>
      </w:r>
    </w:p>
    <w:p w:rsidR="00BF276F" w:rsidRPr="007B25E5" w:rsidRDefault="00BF276F" w:rsidP="003C4C49">
      <w:pPr>
        <w:adjustRightInd w:val="0"/>
        <w:snapToGrid w:val="0"/>
        <w:spacing w:line="460" w:lineRule="exact"/>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（四）保障資產安全。</w:t>
      </w:r>
    </w:p>
    <w:p w:rsidR="00BF276F" w:rsidRPr="007B25E5" w:rsidRDefault="00BF276F" w:rsidP="003C4C49">
      <w:pPr>
        <w:adjustRightInd w:val="0"/>
        <w:snapToGrid w:val="0"/>
        <w:spacing w:line="460" w:lineRule="exact"/>
        <w:ind w:leftChars="250" w:left="60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行政透明為前項第三款遵循法令規定之次目標。</w:t>
      </w:r>
    </w:p>
    <w:p w:rsidR="00BF276F" w:rsidRPr="007B25E5" w:rsidRDefault="00BF276F" w:rsidP="003C4C49">
      <w:pPr>
        <w:adjustRightInd w:val="0"/>
        <w:snapToGrid w:val="0"/>
        <w:spacing w:line="460" w:lineRule="exact"/>
        <w:ind w:left="560" w:hangingChars="200" w:hanging="560"/>
        <w:jc w:val="both"/>
        <w:rPr>
          <w:rFonts w:ascii="標楷體" w:eastAsia="標楷體" w:hAnsi="標楷體"/>
          <w:bCs/>
          <w:sz w:val="28"/>
          <w:szCs w:val="28"/>
          <w:lang w:val="en-GB"/>
        </w:rPr>
      </w:pPr>
      <w:r w:rsidRPr="007B25E5">
        <w:rPr>
          <w:rFonts w:ascii="標楷體" w:eastAsia="標楷體" w:hAnsi="標楷體" w:hint="eastAsia"/>
          <w:bCs/>
          <w:sz w:val="28"/>
          <w:szCs w:val="28"/>
          <w:lang w:val="en-GB"/>
        </w:rPr>
        <w:t>三、本方案以本府及所屬各機關</w:t>
      </w:r>
      <w:r w:rsidRPr="007B25E5">
        <w:rPr>
          <w:rFonts w:ascii="標楷體" w:eastAsia="標楷體" w:hAnsi="標楷體"/>
          <w:bCs/>
          <w:sz w:val="28"/>
          <w:szCs w:val="28"/>
          <w:lang w:val="en-GB"/>
        </w:rPr>
        <w:t>(</w:t>
      </w:r>
      <w:r w:rsidRPr="007B25E5">
        <w:rPr>
          <w:rFonts w:ascii="標楷體" w:eastAsia="標楷體" w:hAnsi="標楷體" w:hint="eastAsia"/>
          <w:bCs/>
          <w:sz w:val="28"/>
          <w:szCs w:val="28"/>
          <w:lang w:val="en-GB"/>
        </w:rPr>
        <w:t>構</w:t>
      </w:r>
      <w:r w:rsidRPr="007B25E5">
        <w:rPr>
          <w:rFonts w:ascii="標楷體" w:eastAsia="標楷體" w:hAnsi="標楷體"/>
          <w:bCs/>
          <w:sz w:val="28"/>
          <w:szCs w:val="28"/>
          <w:lang w:val="en-GB"/>
        </w:rPr>
        <w:t>)</w:t>
      </w:r>
      <w:r w:rsidRPr="007B25E5">
        <w:rPr>
          <w:rFonts w:ascii="標楷體" w:eastAsia="標楷體" w:hAnsi="標楷體" w:hint="eastAsia"/>
          <w:bCs/>
          <w:sz w:val="28"/>
          <w:szCs w:val="28"/>
          <w:lang w:val="en-GB"/>
        </w:rPr>
        <w:t>、學校為實施對象（以下簡稱各機關）。</w:t>
      </w:r>
    </w:p>
    <w:p w:rsidR="00BF276F" w:rsidRPr="007B25E5" w:rsidRDefault="00BF276F" w:rsidP="00472B19">
      <w:pPr>
        <w:adjustRightInd w:val="0"/>
        <w:snapToGrid w:val="0"/>
        <w:spacing w:line="460" w:lineRule="exact"/>
        <w:ind w:left="560" w:hangingChars="200" w:hanging="56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四、本方案推動</w:t>
      </w:r>
      <w:r w:rsidRPr="007B25E5">
        <w:rPr>
          <w:rFonts w:ascii="標楷體" w:eastAsia="標楷體" w:hAnsi="標楷體" w:hint="eastAsia"/>
          <w:bCs/>
          <w:sz w:val="28"/>
          <w:szCs w:val="28"/>
          <w:lang w:val="en-GB"/>
        </w:rPr>
        <w:t>單位包括：</w:t>
      </w:r>
    </w:p>
    <w:p w:rsidR="00BF276F" w:rsidRPr="007B25E5" w:rsidRDefault="00BF276F" w:rsidP="00472B19">
      <w:pPr>
        <w:adjustRightInd w:val="0"/>
        <w:snapToGrid w:val="0"/>
        <w:spacing w:line="460" w:lineRule="exact"/>
        <w:ind w:left="840" w:hangingChars="300" w:hanging="84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（一）本府成立內部控制推動及督導小組，負責推動內部控制制度，並督導落實執行。</w:t>
      </w:r>
    </w:p>
    <w:p w:rsidR="00BF276F" w:rsidRPr="007B25E5" w:rsidRDefault="00BF276F" w:rsidP="00472B19">
      <w:pPr>
        <w:adjustRightInd w:val="0"/>
        <w:snapToGrid w:val="0"/>
        <w:spacing w:line="460" w:lineRule="exact"/>
        <w:ind w:left="840" w:hangingChars="300" w:hanging="84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（二）各機關分別組設內部控制小組，負責推動及執行本方案相關工作。</w:t>
      </w:r>
    </w:p>
    <w:p w:rsidR="00BF276F" w:rsidRPr="007B25E5" w:rsidRDefault="00BF276F" w:rsidP="00472B19">
      <w:pPr>
        <w:adjustRightInd w:val="0"/>
        <w:snapToGrid w:val="0"/>
        <w:spacing w:line="460" w:lineRule="exact"/>
        <w:ind w:left="560" w:hangingChars="200" w:hanging="56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五、本方案推動策略及分工如下：</w:t>
      </w:r>
    </w:p>
    <w:p w:rsidR="00BF276F" w:rsidRPr="007B25E5" w:rsidRDefault="00BF276F" w:rsidP="00472B19">
      <w:pPr>
        <w:adjustRightInd w:val="0"/>
        <w:snapToGrid w:val="0"/>
        <w:spacing w:line="460" w:lineRule="exact"/>
        <w:ind w:left="840" w:hangingChars="300" w:hanging="84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（一）連江縣政府內部控制推動及督導小組</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1</w:t>
      </w:r>
      <w:r w:rsidRPr="007B25E5">
        <w:rPr>
          <w:rFonts w:ascii="標楷體" w:eastAsia="標楷體" w:hAnsi="標楷體" w:cs="Courier New" w:hint="eastAsia"/>
          <w:sz w:val="28"/>
          <w:szCs w:val="28"/>
          <w:lang w:val="en-GB"/>
        </w:rPr>
        <w:t>、辦理內部控制（含內部稽核）教育訓練，對各機關等說明內部控制（含內部稽核）之重要性、實施作法，獲取共識及支持。</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2</w:t>
      </w:r>
      <w:r w:rsidRPr="007B25E5">
        <w:rPr>
          <w:rFonts w:ascii="標楷體" w:eastAsia="標楷體" w:hAnsi="標楷體" w:cs="Courier New" w:hint="eastAsia"/>
          <w:sz w:val="28"/>
          <w:szCs w:val="28"/>
          <w:lang w:val="en-GB"/>
        </w:rPr>
        <w:t>、審議強化內部控制實施方案、本府內部控制制度設計原則及本府內部控制監督作業要點等。</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3</w:t>
      </w:r>
      <w:r w:rsidRPr="007B25E5">
        <w:rPr>
          <w:rFonts w:ascii="標楷體" w:eastAsia="標楷體" w:hAnsi="標楷體" w:cs="Courier New" w:hint="eastAsia"/>
          <w:sz w:val="28"/>
          <w:szCs w:val="28"/>
          <w:lang w:val="en-GB"/>
        </w:rPr>
        <w:t>、督導各機關落實執行內部控制（含內部稽核）工作，並定期或不定期擇機關進行訪查。</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rPr>
      </w:pPr>
      <w:r w:rsidRPr="007B25E5">
        <w:rPr>
          <w:rFonts w:ascii="標楷體" w:eastAsia="標楷體" w:hAnsi="標楷體" w:cs="Courier New"/>
          <w:sz w:val="28"/>
          <w:szCs w:val="28"/>
          <w:lang w:val="en-GB"/>
        </w:rPr>
        <w:t>4</w:t>
      </w:r>
      <w:r w:rsidRPr="007B25E5">
        <w:rPr>
          <w:rFonts w:ascii="標楷體" w:eastAsia="標楷體" w:hAnsi="標楷體" w:cs="Courier New" w:hint="eastAsia"/>
          <w:sz w:val="28"/>
          <w:szCs w:val="28"/>
          <w:lang w:val="en-GB"/>
        </w:rPr>
        <w:t>、審議各機關提報內部控制（含內部稽核）作業落實執行情形，包含已獲致具體成效，可供其他機關借鏡等案件。</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sz w:val="28"/>
          <w:szCs w:val="28"/>
        </w:rPr>
        <w:lastRenderedPageBreak/>
        <w:t>5</w:t>
      </w:r>
      <w:r w:rsidRPr="007B25E5">
        <w:rPr>
          <w:rFonts w:ascii="標楷體" w:eastAsia="標楷體" w:hAnsi="標楷體" w:hint="eastAsia"/>
          <w:sz w:val="28"/>
          <w:szCs w:val="28"/>
        </w:rPr>
        <w:t>、審議各機關提報審計室之審核意見涉及內部控制缺失事項之權責分工</w:t>
      </w:r>
      <w:r w:rsidRPr="007B25E5">
        <w:rPr>
          <w:rFonts w:ascii="標楷體" w:eastAsia="標楷體" w:hAnsi="標楷體" w:cs="Courier New" w:hint="eastAsia"/>
          <w:sz w:val="28"/>
          <w:szCs w:val="28"/>
          <w:lang w:val="en-GB"/>
        </w:rPr>
        <w:t>。</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6</w:t>
      </w:r>
      <w:r w:rsidRPr="007B25E5">
        <w:rPr>
          <w:rFonts w:ascii="標楷體" w:eastAsia="標楷體" w:hAnsi="標楷體" w:cs="Courier New" w:hint="eastAsia"/>
          <w:sz w:val="28"/>
          <w:szCs w:val="28"/>
          <w:lang w:val="en-GB"/>
        </w:rPr>
        <w:t>、備查內部控制制度共通性作業範例等。</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7</w:t>
      </w:r>
      <w:r w:rsidRPr="007B25E5">
        <w:rPr>
          <w:rFonts w:ascii="標楷體" w:eastAsia="標楷體" w:hAnsi="標楷體" w:cs="Courier New" w:hint="eastAsia"/>
          <w:sz w:val="28"/>
          <w:szCs w:val="28"/>
          <w:lang w:val="en-GB"/>
        </w:rPr>
        <w:t>、審議或備查各機關提報檢討內部控制（含內部稽核）作業，所發現之重大缺失及督導改善情形。</w:t>
      </w:r>
    </w:p>
    <w:p w:rsidR="00BF276F" w:rsidRPr="007B25E5" w:rsidRDefault="00BF276F" w:rsidP="00472B19">
      <w:pPr>
        <w:adjustRightInd w:val="0"/>
        <w:snapToGrid w:val="0"/>
        <w:spacing w:line="460" w:lineRule="exact"/>
        <w:ind w:left="840" w:hangingChars="300" w:hanging="84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（二）</w:t>
      </w:r>
      <w:r w:rsidR="00EE12BA" w:rsidRPr="00EE12BA">
        <w:rPr>
          <w:rFonts w:ascii="標楷體" w:eastAsia="標楷體" w:hAnsi="標楷體" w:cs="Courier New" w:hint="eastAsia"/>
          <w:sz w:val="28"/>
          <w:szCs w:val="28"/>
          <w:u w:val="single"/>
          <w:lang w:val="en-GB"/>
        </w:rPr>
        <w:t>財政稅務局</w:t>
      </w:r>
      <w:r w:rsidR="00EE12BA">
        <w:rPr>
          <w:rFonts w:ascii="標楷體" w:eastAsia="標楷體" w:hAnsi="標楷體" w:cs="Courier New" w:hint="eastAsia"/>
          <w:sz w:val="28"/>
          <w:szCs w:val="28"/>
          <w:lang w:val="en-GB"/>
        </w:rPr>
        <w:t>、</w:t>
      </w:r>
      <w:r w:rsidRPr="00A304CE">
        <w:rPr>
          <w:rFonts w:ascii="標楷體" w:eastAsia="標楷體" w:hAnsi="標楷體" w:cs="標楷體" w:hint="eastAsia"/>
          <w:sz w:val="28"/>
          <w:szCs w:val="28"/>
          <w:u w:val="single"/>
          <w:lang w:val="zh-TW"/>
        </w:rPr>
        <w:t>政風</w:t>
      </w:r>
      <w:r w:rsidR="00A304CE" w:rsidRPr="00A304CE">
        <w:rPr>
          <w:rFonts w:ascii="標楷體" w:eastAsia="標楷體" w:hAnsi="標楷體" w:cs="標楷體" w:hint="eastAsia"/>
          <w:sz w:val="28"/>
          <w:szCs w:val="28"/>
          <w:u w:val="single"/>
          <w:lang w:val="zh-TW"/>
        </w:rPr>
        <w:t>處</w:t>
      </w:r>
      <w:r w:rsidRPr="007B25E5">
        <w:rPr>
          <w:rFonts w:ascii="標楷體" w:eastAsia="標楷體" w:hAnsi="標楷體" w:cs="標楷體" w:hint="eastAsia"/>
          <w:sz w:val="28"/>
          <w:szCs w:val="28"/>
          <w:lang w:val="zh-TW"/>
        </w:rPr>
        <w:t>、</w:t>
      </w:r>
      <w:r w:rsidRPr="00A304CE">
        <w:rPr>
          <w:rFonts w:ascii="標楷體" w:eastAsia="標楷體" w:hAnsi="標楷體" w:cs="標楷體" w:hint="eastAsia"/>
          <w:sz w:val="28"/>
          <w:szCs w:val="28"/>
          <w:u w:val="single"/>
          <w:lang w:val="zh-TW"/>
        </w:rPr>
        <w:t>主計</w:t>
      </w:r>
      <w:r w:rsidR="00A304CE" w:rsidRPr="00A304CE">
        <w:rPr>
          <w:rFonts w:ascii="標楷體" w:eastAsia="標楷體" w:hAnsi="標楷體" w:cs="標楷體" w:hint="eastAsia"/>
          <w:sz w:val="28"/>
          <w:szCs w:val="28"/>
          <w:u w:val="single"/>
          <w:lang w:val="zh-TW"/>
        </w:rPr>
        <w:t>處</w:t>
      </w:r>
      <w:r w:rsidRPr="007B25E5">
        <w:rPr>
          <w:rFonts w:ascii="標楷體" w:eastAsia="標楷體" w:hAnsi="標楷體" w:cs="標楷體" w:hint="eastAsia"/>
          <w:sz w:val="28"/>
          <w:szCs w:val="28"/>
          <w:lang w:val="zh-TW"/>
        </w:rPr>
        <w:t>、</w:t>
      </w:r>
      <w:r w:rsidRPr="00A304CE">
        <w:rPr>
          <w:rFonts w:ascii="標楷體" w:eastAsia="標楷體" w:hAnsi="標楷體" w:cs="標楷體" w:hint="eastAsia"/>
          <w:sz w:val="28"/>
          <w:szCs w:val="28"/>
          <w:u w:val="single"/>
          <w:lang w:val="zh-TW"/>
        </w:rPr>
        <w:t>人事</w:t>
      </w:r>
      <w:r w:rsidR="00A304CE" w:rsidRPr="00A304CE">
        <w:rPr>
          <w:rFonts w:ascii="標楷體" w:eastAsia="標楷體" w:hAnsi="標楷體" w:cs="標楷體" w:hint="eastAsia"/>
          <w:sz w:val="28"/>
          <w:szCs w:val="28"/>
          <w:u w:val="single"/>
          <w:lang w:val="zh-TW"/>
        </w:rPr>
        <w:t>處</w:t>
      </w:r>
      <w:r w:rsidRPr="007B25E5">
        <w:rPr>
          <w:rFonts w:ascii="標楷體" w:eastAsia="標楷體" w:hAnsi="標楷體" w:cs="標楷體" w:hint="eastAsia"/>
          <w:sz w:val="28"/>
          <w:szCs w:val="28"/>
          <w:lang w:val="zh-TW"/>
        </w:rPr>
        <w:t>、</w:t>
      </w:r>
      <w:r w:rsidR="00A304CE" w:rsidRPr="00A304CE">
        <w:rPr>
          <w:rFonts w:ascii="標楷體" w:eastAsia="標楷體" w:hAnsi="標楷體" w:cs="標楷體" w:hint="eastAsia"/>
          <w:sz w:val="28"/>
          <w:szCs w:val="28"/>
          <w:u w:val="single"/>
          <w:lang w:val="zh-TW"/>
        </w:rPr>
        <w:t>行政處</w:t>
      </w:r>
      <w:r w:rsidRPr="007B25E5">
        <w:rPr>
          <w:rFonts w:ascii="標楷體" w:eastAsia="標楷體" w:hAnsi="標楷體" w:cs="標楷體" w:hint="eastAsia"/>
          <w:sz w:val="28"/>
          <w:szCs w:val="28"/>
          <w:lang w:val="zh-TW"/>
        </w:rPr>
        <w:t>、</w:t>
      </w:r>
      <w:r w:rsidRPr="00A304CE">
        <w:rPr>
          <w:rFonts w:ascii="標楷體" w:eastAsia="標楷體" w:hAnsi="標楷體" w:cs="標楷體" w:hint="eastAsia"/>
          <w:sz w:val="28"/>
          <w:szCs w:val="28"/>
          <w:u w:val="single"/>
          <w:lang w:val="zh-TW"/>
        </w:rPr>
        <w:t>工務</w:t>
      </w:r>
      <w:r w:rsidR="00A304CE" w:rsidRPr="00A304CE">
        <w:rPr>
          <w:rFonts w:ascii="標楷體" w:eastAsia="標楷體" w:hAnsi="標楷體" w:cs="標楷體" w:hint="eastAsia"/>
          <w:sz w:val="28"/>
          <w:szCs w:val="28"/>
          <w:u w:val="single"/>
          <w:lang w:val="zh-TW"/>
        </w:rPr>
        <w:t>處</w:t>
      </w:r>
      <w:r w:rsidRPr="007B25E5">
        <w:rPr>
          <w:rFonts w:ascii="標楷體" w:eastAsia="標楷體" w:hAnsi="標楷體" w:cs="標楷體"/>
          <w:sz w:val="28"/>
          <w:szCs w:val="28"/>
          <w:lang w:val="zh-TW"/>
        </w:rPr>
        <w:t>(</w:t>
      </w:r>
      <w:r w:rsidRPr="007B25E5">
        <w:rPr>
          <w:rFonts w:ascii="標楷體" w:eastAsia="標楷體" w:hAnsi="標楷體" w:cs="標楷體" w:hint="eastAsia"/>
          <w:sz w:val="28"/>
          <w:szCs w:val="28"/>
          <w:lang w:val="zh-TW"/>
        </w:rPr>
        <w:t>以下簡稱各權責單位</w:t>
      </w:r>
      <w:r w:rsidRPr="007B25E5">
        <w:rPr>
          <w:rFonts w:ascii="標楷體" w:eastAsia="標楷體" w:hAnsi="標楷體" w:cs="標楷體"/>
          <w:sz w:val="28"/>
          <w:szCs w:val="28"/>
          <w:lang w:val="zh-TW"/>
        </w:rPr>
        <w:t>)</w:t>
      </w:r>
      <w:r w:rsidRPr="007B25E5">
        <w:rPr>
          <w:rFonts w:ascii="標楷體" w:eastAsia="標楷體" w:hAnsi="標楷體" w:cs="Courier New" w:hint="eastAsia"/>
          <w:sz w:val="28"/>
          <w:szCs w:val="28"/>
          <w:lang w:val="en-GB"/>
        </w:rPr>
        <w:t>：研訂內部控制制度共通性作業範例</w:t>
      </w:r>
      <w:r w:rsidRPr="007B25E5">
        <w:rPr>
          <w:rFonts w:ascii="標楷體" w:eastAsia="標楷體" w:hAnsi="標楷體" w:cs="Courier New"/>
          <w:sz w:val="28"/>
          <w:szCs w:val="28"/>
          <w:lang w:val="en-GB"/>
        </w:rPr>
        <w:t>(</w:t>
      </w:r>
      <w:r w:rsidRPr="007B25E5">
        <w:rPr>
          <w:rFonts w:ascii="標楷體" w:eastAsia="標楷體" w:hAnsi="標楷體" w:cs="Courier New" w:hint="eastAsia"/>
          <w:sz w:val="28"/>
          <w:szCs w:val="28"/>
          <w:lang w:val="en-GB"/>
        </w:rPr>
        <w:t>如附表</w:t>
      </w:r>
      <w:r w:rsidRPr="007B25E5">
        <w:rPr>
          <w:rFonts w:ascii="標楷體" w:eastAsia="標楷體" w:hAnsi="標楷體" w:cs="Courier New"/>
          <w:sz w:val="28"/>
          <w:szCs w:val="28"/>
          <w:lang w:val="en-GB"/>
        </w:rPr>
        <w:t>)</w:t>
      </w:r>
      <w:r w:rsidRPr="007B25E5">
        <w:rPr>
          <w:rFonts w:ascii="標楷體" w:eastAsia="標楷體" w:hAnsi="標楷體" w:cs="Courier New" w:hint="eastAsia"/>
          <w:sz w:val="28"/>
          <w:szCs w:val="28"/>
          <w:lang w:val="en-GB"/>
        </w:rPr>
        <w:t>，提報本府內部控制推動及督導小組。</w:t>
      </w:r>
    </w:p>
    <w:p w:rsidR="00BF276F" w:rsidRPr="007B25E5" w:rsidRDefault="00BF276F" w:rsidP="00472B19">
      <w:pPr>
        <w:adjustRightInd w:val="0"/>
        <w:snapToGrid w:val="0"/>
        <w:spacing w:line="460" w:lineRule="exact"/>
        <w:ind w:left="840" w:hangingChars="300" w:hanging="84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（三）各機關</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1</w:t>
      </w:r>
      <w:r w:rsidRPr="007B25E5">
        <w:rPr>
          <w:rFonts w:ascii="標楷體" w:eastAsia="標楷體" w:hAnsi="標楷體" w:cs="Courier New" w:hint="eastAsia"/>
          <w:sz w:val="28"/>
          <w:szCs w:val="28"/>
          <w:lang w:val="en-GB"/>
        </w:rPr>
        <w:t>、機關首長對推動、落實內部控制（含內部稽核）作業負最終責任。</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2</w:t>
      </w:r>
      <w:r w:rsidRPr="007B25E5">
        <w:rPr>
          <w:rFonts w:ascii="標楷體" w:eastAsia="標楷體" w:hAnsi="標楷體" w:cs="Courier New" w:hint="eastAsia"/>
          <w:sz w:val="28"/>
          <w:szCs w:val="28"/>
          <w:lang w:val="en-GB"/>
        </w:rPr>
        <w:t>、由副首長以上人員擔任召集人，指定內部各單位主管組成內部控制小組，辦理下列事項：</w:t>
      </w:r>
    </w:p>
    <w:p w:rsidR="00BF276F" w:rsidRPr="007B25E5" w:rsidRDefault="00BF276F" w:rsidP="00472B19">
      <w:pPr>
        <w:spacing w:line="460" w:lineRule="exact"/>
        <w:ind w:leftChars="300" w:left="1078" w:hangingChars="128" w:hanging="358"/>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(1)</w:t>
      </w:r>
      <w:r w:rsidRPr="007B25E5">
        <w:rPr>
          <w:rFonts w:ascii="標楷體" w:eastAsia="標楷體" w:hAnsi="標楷體" w:cs="Courier New" w:hint="eastAsia"/>
          <w:sz w:val="28"/>
          <w:szCs w:val="28"/>
          <w:lang w:val="en-GB"/>
        </w:rPr>
        <w:t>辦理內部控制教育訓練。</w:t>
      </w:r>
    </w:p>
    <w:p w:rsidR="00BF276F" w:rsidRPr="007B25E5" w:rsidRDefault="00BF276F" w:rsidP="00472B19">
      <w:pPr>
        <w:spacing w:line="460" w:lineRule="exact"/>
        <w:ind w:leftChars="300" w:left="1078" w:hangingChars="128" w:hanging="358"/>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(2)</w:t>
      </w:r>
      <w:r w:rsidRPr="007B25E5">
        <w:rPr>
          <w:rFonts w:ascii="標楷體" w:eastAsia="標楷體" w:hAnsi="標楷體" w:cs="Courier New" w:hint="eastAsia"/>
          <w:sz w:val="28"/>
          <w:szCs w:val="28"/>
          <w:lang w:val="en-GB"/>
        </w:rPr>
        <w:t>檢討強化現有內部控制作業。</w:t>
      </w:r>
    </w:p>
    <w:p w:rsidR="00BF276F" w:rsidRPr="007B25E5" w:rsidRDefault="00BF276F" w:rsidP="00472B19">
      <w:pPr>
        <w:spacing w:line="460" w:lineRule="exact"/>
        <w:ind w:leftChars="300" w:left="1078" w:hangingChars="128" w:hanging="358"/>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(3)</w:t>
      </w:r>
      <w:r w:rsidRPr="007B25E5">
        <w:rPr>
          <w:rFonts w:ascii="標楷體" w:eastAsia="標楷體" w:hAnsi="標楷體" w:cs="Courier New" w:hint="eastAsia"/>
          <w:sz w:val="28"/>
          <w:szCs w:val="28"/>
          <w:lang w:val="en-GB"/>
        </w:rPr>
        <w:t>整合檢討個別性業務內部控制作業。</w:t>
      </w:r>
    </w:p>
    <w:p w:rsidR="00BF276F" w:rsidRPr="007B25E5" w:rsidRDefault="00BF276F" w:rsidP="00472B19">
      <w:pPr>
        <w:spacing w:line="460" w:lineRule="exact"/>
        <w:ind w:leftChars="300" w:left="1078" w:hangingChars="128" w:hanging="358"/>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(4)</w:t>
      </w:r>
      <w:r w:rsidRPr="007B25E5">
        <w:rPr>
          <w:rFonts w:ascii="標楷體" w:eastAsia="標楷體" w:hAnsi="標楷體" w:cs="Courier New" w:hint="eastAsia"/>
          <w:sz w:val="28"/>
          <w:szCs w:val="28"/>
          <w:lang w:val="en-GB"/>
        </w:rPr>
        <w:t>參採各權責單位所訂內部控制制度共通性作業範例等，並審視個別性業務之風險性及重要性，訂定合宜之內部控制制度。</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3.</w:t>
      </w:r>
      <w:r w:rsidRPr="007B25E5">
        <w:rPr>
          <w:rFonts w:ascii="標楷體" w:eastAsia="標楷體" w:hAnsi="標楷體" w:cs="Courier New" w:hint="eastAsia"/>
          <w:sz w:val="28"/>
          <w:szCs w:val="28"/>
          <w:lang w:val="en-GB"/>
        </w:rPr>
        <w:t>規劃及執行自行評估作業。</w:t>
      </w:r>
    </w:p>
    <w:p w:rsidR="00BF276F" w:rsidRPr="007B25E5" w:rsidRDefault="00BF276F" w:rsidP="00213BDF">
      <w:pPr>
        <w:spacing w:line="460" w:lineRule="exact"/>
        <w:ind w:leftChars="199" w:left="705" w:hangingChars="81" w:hanging="227"/>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4.</w:t>
      </w:r>
      <w:r w:rsidRPr="007B25E5">
        <w:rPr>
          <w:rFonts w:ascii="標楷體" w:eastAsia="標楷體" w:hAnsi="標楷體" w:cs="Courier New" w:hint="eastAsia"/>
          <w:sz w:val="28"/>
          <w:szCs w:val="28"/>
          <w:lang w:val="en-GB"/>
        </w:rPr>
        <w:t>辦理內部稽核教育訓練，並規劃及執行內部稽核工作，另得審視業務之風險性及重要性，訂定內部稽核作業規定。</w:t>
      </w:r>
      <w:r w:rsidRPr="007B25E5">
        <w:rPr>
          <w:rFonts w:ascii="標楷體" w:eastAsia="標楷體" w:hAnsi="標楷體" w:cs="Courier New"/>
          <w:sz w:val="28"/>
          <w:szCs w:val="28"/>
          <w:lang w:val="en-GB"/>
        </w:rPr>
        <w:t xml:space="preserve"> </w:t>
      </w:r>
    </w:p>
    <w:p w:rsidR="00BF276F" w:rsidRPr="007B25E5" w:rsidRDefault="00BF276F" w:rsidP="00472B19">
      <w:pPr>
        <w:adjustRightInd w:val="0"/>
        <w:snapToGrid w:val="0"/>
        <w:spacing w:line="460" w:lineRule="exact"/>
        <w:ind w:left="840" w:hangingChars="300" w:hanging="840"/>
        <w:jc w:val="both"/>
        <w:rPr>
          <w:rFonts w:ascii="標楷體" w:eastAsia="標楷體" w:hAnsi="標楷體" w:cs="Courier New"/>
          <w:sz w:val="28"/>
          <w:szCs w:val="28"/>
          <w:lang w:val="en-GB"/>
        </w:rPr>
      </w:pPr>
      <w:r w:rsidRPr="007B25E5">
        <w:rPr>
          <w:rFonts w:ascii="標楷體" w:eastAsia="標楷體" w:hAnsi="標楷體" w:cs="Courier New" w:hint="eastAsia"/>
          <w:sz w:val="28"/>
          <w:szCs w:val="28"/>
          <w:lang w:val="en-GB"/>
        </w:rPr>
        <w:t>（四）各</w:t>
      </w:r>
      <w:r w:rsidRPr="00A304CE">
        <w:rPr>
          <w:rFonts w:ascii="標楷體" w:eastAsia="標楷體" w:hAnsi="標楷體" w:cs="Courier New" w:hint="eastAsia"/>
          <w:sz w:val="28"/>
          <w:szCs w:val="28"/>
          <w:lang w:val="en-GB"/>
        </w:rPr>
        <w:t>業務</w:t>
      </w:r>
      <w:r w:rsidRPr="007B25E5">
        <w:rPr>
          <w:rFonts w:ascii="標楷體" w:eastAsia="標楷體" w:hAnsi="標楷體" w:cs="Courier New" w:hint="eastAsia"/>
          <w:sz w:val="28"/>
          <w:szCs w:val="28"/>
          <w:lang w:val="en-GB"/>
        </w:rPr>
        <w:t>主管機關除辦理前款所列事項外，並辦理及督導下列事項：</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1</w:t>
      </w:r>
      <w:r w:rsidRPr="007B25E5">
        <w:rPr>
          <w:rFonts w:ascii="標楷體" w:eastAsia="標楷體" w:hAnsi="標楷體" w:cs="Courier New" w:hint="eastAsia"/>
          <w:sz w:val="28"/>
          <w:szCs w:val="28"/>
          <w:lang w:val="en-GB"/>
        </w:rPr>
        <w:t>、辦理內部控制（含內部稽核）教育訓練，對所屬首長、副首長說明內部控制（含內部稽核）之重要性、實施作法，獲取共識及支持，並持續培育內部控制種子教師，推派其擔任本機關或所屬教育訓練講座，以協助機關推動內部控制。</w:t>
      </w:r>
    </w:p>
    <w:p w:rsidR="00BF276F" w:rsidRPr="007B25E5" w:rsidRDefault="00BF276F" w:rsidP="00472B19">
      <w:pPr>
        <w:spacing w:line="460" w:lineRule="exact"/>
        <w:ind w:leftChars="200" w:left="900" w:hangingChars="150" w:hanging="420"/>
        <w:jc w:val="both"/>
        <w:rPr>
          <w:rFonts w:ascii="標楷體" w:eastAsia="標楷體" w:hAnsi="標楷體"/>
          <w:sz w:val="28"/>
          <w:szCs w:val="28"/>
        </w:rPr>
      </w:pPr>
      <w:r w:rsidRPr="007B25E5">
        <w:rPr>
          <w:rFonts w:ascii="標楷體" w:eastAsia="標楷體" w:hAnsi="標楷體" w:cs="Courier New"/>
          <w:sz w:val="28"/>
          <w:szCs w:val="28"/>
          <w:lang w:val="en-GB"/>
        </w:rPr>
        <w:t>2</w:t>
      </w:r>
      <w:r w:rsidRPr="007B25E5">
        <w:rPr>
          <w:rFonts w:ascii="標楷體" w:eastAsia="標楷體" w:hAnsi="標楷體" w:cs="Courier New" w:hint="eastAsia"/>
          <w:sz w:val="28"/>
          <w:szCs w:val="28"/>
          <w:lang w:val="en-GB"/>
        </w:rPr>
        <w:t>、</w:t>
      </w:r>
      <w:r w:rsidRPr="007B25E5">
        <w:rPr>
          <w:rFonts w:ascii="標楷體" w:eastAsia="標楷體" w:hAnsi="標楷體" w:hint="eastAsia"/>
          <w:sz w:val="28"/>
          <w:szCs w:val="28"/>
        </w:rPr>
        <w:t>針對審計室之審核</w:t>
      </w:r>
      <w:r w:rsidRPr="007B25E5">
        <w:rPr>
          <w:rFonts w:ascii="標楷體" w:eastAsia="標楷體" w:hAnsi="標楷體" w:cs="Courier New" w:hint="eastAsia"/>
          <w:sz w:val="28"/>
          <w:szCs w:val="28"/>
          <w:lang w:val="en-GB"/>
        </w:rPr>
        <w:t>意見</w:t>
      </w:r>
      <w:r w:rsidRPr="007B25E5">
        <w:rPr>
          <w:rFonts w:ascii="標楷體" w:eastAsia="標楷體" w:hAnsi="標楷體" w:hint="eastAsia"/>
          <w:sz w:val="28"/>
          <w:szCs w:val="28"/>
        </w:rPr>
        <w:t>涉及業管內部控制事項，應即會同所屬依本府訂頒內部控制相關規定，釐清屬本機關及所屬機關之內部控制缺失，並督導所屬積極檢討改善</w:t>
      </w:r>
      <w:r w:rsidRPr="007B25E5">
        <w:rPr>
          <w:rFonts w:ascii="標楷體" w:eastAsia="標楷體" w:hAnsi="標楷體" w:hint="eastAsia"/>
          <w:sz w:val="32"/>
          <w:szCs w:val="32"/>
        </w:rPr>
        <w:t>。</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rPr>
      </w:pPr>
      <w:r w:rsidRPr="007B25E5">
        <w:rPr>
          <w:rFonts w:ascii="標楷體" w:eastAsia="標楷體" w:hAnsi="標楷體" w:cs="Courier New"/>
          <w:sz w:val="28"/>
          <w:szCs w:val="28"/>
          <w:lang w:val="en-GB"/>
        </w:rPr>
        <w:t>3</w:t>
      </w:r>
      <w:r w:rsidRPr="007B25E5">
        <w:rPr>
          <w:rFonts w:ascii="標楷體" w:eastAsia="標楷體" w:hAnsi="標楷體" w:cs="Courier New" w:hint="eastAsia"/>
          <w:sz w:val="28"/>
          <w:szCs w:val="28"/>
          <w:lang w:val="en-GB"/>
        </w:rPr>
        <w:t>、內部控制缺失</w:t>
      </w:r>
      <w:r w:rsidRPr="007B25E5">
        <w:rPr>
          <w:rFonts w:ascii="標楷體" w:eastAsia="標楷體" w:hAnsi="標楷體" w:hint="eastAsia"/>
          <w:sz w:val="28"/>
          <w:szCs w:val="28"/>
        </w:rPr>
        <w:t>涉及跨單位業務，應主動與相關權責機關進行溝通協調，必要時得提報本府內部控制推動及督導小組，以釐清權責及問題所在，</w:t>
      </w:r>
      <w:r w:rsidRPr="007B25E5">
        <w:rPr>
          <w:rFonts w:ascii="標楷體" w:eastAsia="標楷體" w:hAnsi="標楷體" w:hint="eastAsia"/>
          <w:sz w:val="28"/>
          <w:szCs w:val="28"/>
        </w:rPr>
        <w:lastRenderedPageBreak/>
        <w:t>並儘速檢討改善。</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4</w:t>
      </w:r>
      <w:r w:rsidRPr="007B25E5">
        <w:rPr>
          <w:rFonts w:ascii="標楷體" w:eastAsia="標楷體" w:hAnsi="標楷體" w:cs="Courier New" w:hint="eastAsia"/>
          <w:sz w:val="28"/>
          <w:szCs w:val="28"/>
          <w:lang w:val="en-GB"/>
        </w:rPr>
        <w:t>、督導所屬訂定內部控制制度，屬性質相同者，得為一致規定，或指定所屬統一訂定。</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5</w:t>
      </w:r>
      <w:r w:rsidRPr="007B25E5">
        <w:rPr>
          <w:rFonts w:ascii="標楷體" w:eastAsia="標楷體" w:hAnsi="標楷體" w:cs="Courier New" w:hint="eastAsia"/>
          <w:sz w:val="28"/>
          <w:szCs w:val="28"/>
          <w:lang w:val="en-GB"/>
        </w:rPr>
        <w:t>、督導所屬審視業務之風險性及重要性，得訂定內部控制監督作業相關規定，屬性質相同者，並得為一致規定，或指定所屬統一訂定。</w:t>
      </w:r>
      <w:r w:rsidRPr="007B25E5">
        <w:rPr>
          <w:rFonts w:ascii="標楷體" w:eastAsia="標楷體" w:hAnsi="標楷體" w:cs="Courier New"/>
          <w:sz w:val="28"/>
          <w:szCs w:val="28"/>
          <w:lang w:val="en-GB"/>
        </w:rPr>
        <w:t xml:space="preserve"> </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6</w:t>
      </w:r>
      <w:r w:rsidRPr="007B25E5">
        <w:rPr>
          <w:rFonts w:ascii="標楷體" w:eastAsia="標楷體" w:hAnsi="標楷體" w:cs="Courier New" w:hint="eastAsia"/>
          <w:sz w:val="28"/>
          <w:szCs w:val="28"/>
          <w:lang w:val="en-GB"/>
        </w:rPr>
        <w:t>、督導所屬落實執行內部控制（含內部稽核）工作，並檢視所屬內部控制缺失案件認定情形，另得定期或不定期對所屬進行訪查。</w:t>
      </w:r>
    </w:p>
    <w:p w:rsidR="00BF276F" w:rsidRPr="007B25E5" w:rsidRDefault="00BF276F" w:rsidP="00472B19">
      <w:pPr>
        <w:spacing w:line="460" w:lineRule="exact"/>
        <w:ind w:leftChars="200" w:left="900" w:hangingChars="150" w:hanging="420"/>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7</w:t>
      </w:r>
      <w:r w:rsidRPr="007B25E5">
        <w:rPr>
          <w:rFonts w:ascii="標楷體" w:eastAsia="標楷體" w:hAnsi="標楷體" w:cs="Courier New" w:hint="eastAsia"/>
          <w:sz w:val="28"/>
          <w:szCs w:val="28"/>
          <w:lang w:val="en-GB"/>
        </w:rPr>
        <w:t>、彙整本機關及所屬下列辦理情形，提報本府內部控制推動及督導小組：</w:t>
      </w:r>
    </w:p>
    <w:p w:rsidR="00BF276F" w:rsidRPr="007B25E5" w:rsidRDefault="00BF276F" w:rsidP="00472B19">
      <w:pPr>
        <w:spacing w:line="460" w:lineRule="exact"/>
        <w:ind w:leftChars="300" w:left="1078" w:hangingChars="128" w:hanging="358"/>
        <w:jc w:val="both"/>
        <w:rPr>
          <w:rFonts w:ascii="標楷體" w:eastAsia="標楷體" w:hAnsi="標楷體" w:cs="Courier New"/>
          <w:sz w:val="28"/>
          <w:szCs w:val="28"/>
          <w:lang w:val="en-GB"/>
        </w:rPr>
      </w:pPr>
      <w:r w:rsidRPr="007B25E5">
        <w:rPr>
          <w:rFonts w:ascii="標楷體" w:eastAsia="標楷體" w:hAnsi="標楷體" w:cs="Courier New"/>
          <w:sz w:val="28"/>
          <w:szCs w:val="28"/>
          <w:lang w:val="en-GB"/>
        </w:rPr>
        <w:t>(1)</w:t>
      </w:r>
      <w:r w:rsidRPr="007B25E5">
        <w:rPr>
          <w:rFonts w:ascii="標楷體" w:eastAsia="標楷體" w:hAnsi="標楷體" w:cs="Courier New" w:hint="eastAsia"/>
          <w:sz w:val="28"/>
          <w:szCs w:val="28"/>
          <w:lang w:val="en-GB"/>
        </w:rPr>
        <w:t>檢討現有內部控制（含內部稽核）作業，所發現之重大缺失及督導改善情形。</w:t>
      </w:r>
    </w:p>
    <w:p w:rsidR="00BF276F" w:rsidRPr="007B25E5" w:rsidRDefault="00BF276F" w:rsidP="00472B19">
      <w:pPr>
        <w:autoSpaceDE w:val="0"/>
        <w:autoSpaceDN w:val="0"/>
        <w:adjustRightInd w:val="0"/>
        <w:spacing w:line="440" w:lineRule="exact"/>
        <w:ind w:leftChars="295" w:left="1131" w:hangingChars="151" w:hanging="423"/>
        <w:jc w:val="both"/>
        <w:rPr>
          <w:rFonts w:ascii="標楷體" w:eastAsia="標楷體" w:hAnsi="Times New Roman" w:cs="標楷體"/>
          <w:b/>
          <w:bCs/>
          <w:sz w:val="28"/>
          <w:szCs w:val="28"/>
          <w:lang w:val="zh-TW"/>
        </w:rPr>
      </w:pPr>
      <w:r w:rsidRPr="007B25E5">
        <w:rPr>
          <w:rFonts w:ascii="標楷體" w:eastAsia="標楷體" w:hAnsi="標楷體" w:cs="Courier New"/>
          <w:sz w:val="28"/>
          <w:szCs w:val="28"/>
          <w:lang w:val="en-GB"/>
        </w:rPr>
        <w:t>(2)</w:t>
      </w:r>
      <w:r w:rsidRPr="007B25E5">
        <w:rPr>
          <w:rFonts w:ascii="標楷體" w:eastAsia="標楷體" w:hAnsi="標楷體" w:cs="Courier New" w:hint="eastAsia"/>
          <w:sz w:val="28"/>
          <w:szCs w:val="28"/>
          <w:lang w:val="en-GB"/>
        </w:rPr>
        <w:t>落實執行內部控制（含內部稽核）作業情形，包含已獲致具體成效，可供其他機關借鏡等案件。</w:t>
      </w:r>
    </w:p>
    <w:p w:rsidR="00BF276F" w:rsidRPr="007B25E5" w:rsidRDefault="00BF276F" w:rsidP="00756197">
      <w:pPr>
        <w:adjustRightInd w:val="0"/>
        <w:snapToGrid w:val="0"/>
        <w:spacing w:line="460" w:lineRule="exact"/>
        <w:ind w:left="560" w:hangingChars="200" w:hanging="560"/>
        <w:jc w:val="both"/>
        <w:rPr>
          <w:rFonts w:ascii="標楷體" w:eastAsia="標楷體" w:hAnsi="標楷體"/>
          <w:b/>
          <w:bCs/>
          <w:sz w:val="28"/>
          <w:szCs w:val="28"/>
          <w:lang w:val="en-GB"/>
        </w:rPr>
      </w:pPr>
      <w:r w:rsidRPr="007B25E5">
        <w:rPr>
          <w:rFonts w:ascii="標楷體" w:eastAsia="標楷體" w:hAnsi="標楷體" w:hint="eastAsia"/>
          <w:bCs/>
          <w:sz w:val="28"/>
          <w:szCs w:val="28"/>
          <w:lang w:val="en-GB"/>
        </w:rPr>
        <w:t>六、各機關依本方案辦理內部控制</w:t>
      </w:r>
      <w:r w:rsidRPr="007B25E5">
        <w:rPr>
          <w:rFonts w:ascii="標楷體" w:eastAsia="標楷體" w:hAnsi="標楷體"/>
          <w:bCs/>
          <w:sz w:val="28"/>
          <w:szCs w:val="28"/>
          <w:lang w:val="en-GB"/>
        </w:rPr>
        <w:t>(</w:t>
      </w:r>
      <w:r w:rsidRPr="007B25E5">
        <w:rPr>
          <w:rFonts w:ascii="標楷體" w:eastAsia="標楷體" w:hAnsi="標楷體" w:hint="eastAsia"/>
          <w:bCs/>
          <w:sz w:val="28"/>
          <w:szCs w:val="28"/>
          <w:lang w:val="en-GB"/>
        </w:rPr>
        <w:t>含內部稽核</w:t>
      </w:r>
      <w:r w:rsidRPr="007B25E5">
        <w:rPr>
          <w:rFonts w:ascii="標楷體" w:eastAsia="標楷體" w:hAnsi="標楷體"/>
          <w:bCs/>
          <w:sz w:val="28"/>
          <w:szCs w:val="28"/>
          <w:lang w:val="en-GB"/>
        </w:rPr>
        <w:t>)</w:t>
      </w:r>
      <w:r w:rsidRPr="007B25E5">
        <w:rPr>
          <w:rFonts w:ascii="標楷體" w:eastAsia="標楷體" w:hAnsi="標楷體" w:hint="eastAsia"/>
          <w:bCs/>
          <w:sz w:val="28"/>
          <w:szCs w:val="28"/>
          <w:lang w:val="en-GB"/>
        </w:rPr>
        <w:t>工作情形應予以評核，其評核方式由本府另訂之，於訂定前得依據行政院相關規定辦理。</w:t>
      </w:r>
    </w:p>
    <w:p w:rsidR="00BF276F" w:rsidRPr="007B25E5" w:rsidRDefault="00BF276F" w:rsidP="00472B19">
      <w:pPr>
        <w:adjustRightInd w:val="0"/>
        <w:snapToGrid w:val="0"/>
        <w:spacing w:line="460" w:lineRule="exact"/>
        <w:ind w:left="560" w:hangingChars="200" w:hanging="560"/>
        <w:jc w:val="both"/>
        <w:rPr>
          <w:rFonts w:ascii="標楷體" w:eastAsia="標楷體" w:hAnsi="標楷體"/>
          <w:bCs/>
          <w:sz w:val="28"/>
          <w:szCs w:val="28"/>
          <w:lang w:val="en-GB"/>
        </w:rPr>
      </w:pPr>
      <w:r w:rsidRPr="007B25E5">
        <w:rPr>
          <w:rFonts w:ascii="標楷體" w:eastAsia="標楷體" w:hAnsi="標楷體" w:hint="eastAsia"/>
          <w:bCs/>
          <w:sz w:val="28"/>
          <w:szCs w:val="28"/>
          <w:lang w:val="en-GB"/>
        </w:rPr>
        <w:t>七、各機關執行本方案所需經費，由各機關編列年度預算支應。</w:t>
      </w:r>
    </w:p>
    <w:p w:rsidR="00BF276F" w:rsidRDefault="00BF276F" w:rsidP="008F6432">
      <w:pPr>
        <w:autoSpaceDE w:val="0"/>
        <w:autoSpaceDN w:val="0"/>
        <w:adjustRightInd w:val="0"/>
        <w:spacing w:line="440" w:lineRule="exact"/>
        <w:ind w:left="840" w:hangingChars="300" w:hanging="840"/>
        <w:jc w:val="both"/>
        <w:rPr>
          <w:rFonts w:ascii="標楷體" w:eastAsia="標楷體" w:hAnsi="Times New Roman" w:cs="標楷體"/>
          <w:sz w:val="28"/>
          <w:szCs w:val="28"/>
          <w:lang w:val="zh-TW"/>
        </w:rPr>
      </w:pPr>
      <w:r w:rsidRPr="007B25E5">
        <w:rPr>
          <w:rFonts w:ascii="標楷體" w:eastAsia="標楷體" w:hAnsi="Times New Roman" w:cs="標楷體"/>
          <w:sz w:val="28"/>
          <w:szCs w:val="28"/>
          <w:lang w:val="zh-TW"/>
        </w:rPr>
        <w:br w:type="page"/>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060"/>
      </w:tblGrid>
      <w:tr w:rsidR="00BF276F" w:rsidRPr="00B34A0E" w:rsidTr="000501B9">
        <w:trPr>
          <w:trHeight w:val="1418"/>
          <w:tblHeader/>
          <w:jc w:val="center"/>
        </w:trPr>
        <w:tc>
          <w:tcPr>
            <w:tcW w:w="8640" w:type="dxa"/>
            <w:gridSpan w:val="2"/>
            <w:tcBorders>
              <w:top w:val="nil"/>
              <w:left w:val="nil"/>
              <w:right w:val="nil"/>
            </w:tcBorders>
          </w:tcPr>
          <w:p w:rsidR="00BF276F" w:rsidRPr="00B34A0E" w:rsidRDefault="00BF276F" w:rsidP="00ED5632">
            <w:pPr>
              <w:spacing w:line="440" w:lineRule="exact"/>
              <w:rPr>
                <w:rFonts w:ascii="標楷體" w:eastAsia="標楷體" w:hAnsi="標楷體"/>
                <w:spacing w:val="20"/>
                <w:sz w:val="28"/>
                <w:szCs w:val="28"/>
              </w:rPr>
            </w:pPr>
            <w:r w:rsidRPr="00B34A0E">
              <w:rPr>
                <w:rFonts w:eastAsia="標楷體"/>
                <w:sz w:val="36"/>
                <w:szCs w:val="36"/>
              </w:rPr>
              <w:lastRenderedPageBreak/>
              <w:br w:type="page"/>
            </w:r>
            <w:r w:rsidRPr="00B34A0E">
              <w:rPr>
                <w:rFonts w:eastAsia="標楷體"/>
                <w:sz w:val="28"/>
                <w:szCs w:val="28"/>
              </w:rPr>
              <w:br w:type="page"/>
            </w:r>
            <w:r w:rsidRPr="00B34A0E">
              <w:rPr>
                <w:rFonts w:ascii="標楷體" w:eastAsia="標楷體" w:hAnsi="標楷體"/>
                <w:spacing w:val="20"/>
                <w:sz w:val="32"/>
                <w:szCs w:val="32"/>
              </w:rPr>
              <w:br w:type="page"/>
            </w:r>
            <w:r w:rsidRPr="00B34A0E">
              <w:rPr>
                <w:rFonts w:ascii="標楷體" w:eastAsia="標楷體" w:hAnsi="標楷體" w:hint="eastAsia"/>
                <w:spacing w:val="20"/>
                <w:sz w:val="28"/>
                <w:szCs w:val="28"/>
              </w:rPr>
              <w:t>附表</w:t>
            </w:r>
          </w:p>
          <w:p w:rsidR="00BF276F" w:rsidRPr="00B34A0E" w:rsidRDefault="00BF276F" w:rsidP="00ED5632">
            <w:pPr>
              <w:spacing w:line="440" w:lineRule="exact"/>
              <w:jc w:val="center"/>
              <w:rPr>
                <w:rFonts w:ascii="標楷體" w:eastAsia="標楷體" w:hAnsi="標楷體"/>
                <w:spacing w:val="20"/>
                <w:sz w:val="28"/>
                <w:szCs w:val="28"/>
              </w:rPr>
            </w:pPr>
            <w:r>
              <w:rPr>
                <w:rFonts w:ascii="標楷體" w:eastAsia="標楷體" w:hAnsi="標楷體" w:hint="eastAsia"/>
                <w:spacing w:val="20"/>
                <w:sz w:val="28"/>
                <w:szCs w:val="28"/>
              </w:rPr>
              <w:t>連江縣</w:t>
            </w:r>
            <w:r w:rsidRPr="00B34A0E">
              <w:rPr>
                <w:rFonts w:ascii="標楷體" w:eastAsia="標楷體" w:hAnsi="標楷體" w:hint="eastAsia"/>
                <w:spacing w:val="20"/>
                <w:sz w:val="28"/>
                <w:szCs w:val="28"/>
              </w:rPr>
              <w:t>政府</w:t>
            </w:r>
            <w:r w:rsidRPr="00B34A0E">
              <w:rPr>
                <w:rFonts w:ascii="標楷體" w:eastAsia="標楷體" w:hAnsi="標楷體" w:hint="eastAsia"/>
                <w:sz w:val="28"/>
                <w:szCs w:val="28"/>
              </w:rPr>
              <w:t>內部控制推動及督導小組</w:t>
            </w:r>
            <w:r w:rsidRPr="00B34A0E">
              <w:rPr>
                <w:rFonts w:ascii="標楷體" w:eastAsia="標楷體" w:hAnsi="標楷體" w:hint="eastAsia"/>
                <w:spacing w:val="20"/>
                <w:sz w:val="28"/>
                <w:szCs w:val="28"/>
              </w:rPr>
              <w:t>備查</w:t>
            </w:r>
          </w:p>
          <w:p w:rsidR="00BF276F" w:rsidRPr="00B34A0E" w:rsidRDefault="00BF276F" w:rsidP="00ED5632">
            <w:pPr>
              <w:spacing w:line="440" w:lineRule="exact"/>
              <w:jc w:val="center"/>
              <w:rPr>
                <w:rFonts w:ascii="標楷體" w:eastAsia="標楷體" w:hAnsi="標楷體"/>
                <w:spacing w:val="20"/>
                <w:sz w:val="28"/>
                <w:szCs w:val="28"/>
              </w:rPr>
            </w:pPr>
            <w:r w:rsidRPr="00B34A0E">
              <w:rPr>
                <w:rFonts w:ascii="標楷體" w:eastAsia="標楷體" w:hAnsi="標楷體" w:hint="eastAsia"/>
                <w:spacing w:val="20"/>
                <w:sz w:val="28"/>
                <w:szCs w:val="28"/>
              </w:rPr>
              <w:t>內部控制制度共通性作業範例分工表</w:t>
            </w:r>
          </w:p>
        </w:tc>
      </w:tr>
      <w:tr w:rsidR="00BF276F" w:rsidRPr="00B34A0E" w:rsidTr="00901824">
        <w:trPr>
          <w:trHeight w:val="782"/>
          <w:tblHeader/>
          <w:jc w:val="center"/>
        </w:trPr>
        <w:tc>
          <w:tcPr>
            <w:tcW w:w="5580" w:type="dxa"/>
            <w:vAlign w:val="center"/>
          </w:tcPr>
          <w:p w:rsidR="00BF276F" w:rsidRPr="00B34A0E" w:rsidRDefault="00BF276F" w:rsidP="00ED5632">
            <w:pPr>
              <w:spacing w:line="440" w:lineRule="exact"/>
              <w:jc w:val="center"/>
              <w:rPr>
                <w:rFonts w:ascii="標楷體" w:eastAsia="標楷體" w:hAnsi="標楷體"/>
                <w:sz w:val="28"/>
                <w:szCs w:val="28"/>
              </w:rPr>
            </w:pPr>
            <w:r w:rsidRPr="00B34A0E">
              <w:rPr>
                <w:rFonts w:ascii="標楷體" w:eastAsia="標楷體" w:hAnsi="標楷體" w:hint="eastAsia"/>
                <w:sz w:val="28"/>
                <w:szCs w:val="28"/>
              </w:rPr>
              <w:t>作業範例</w:t>
            </w:r>
          </w:p>
        </w:tc>
        <w:tc>
          <w:tcPr>
            <w:tcW w:w="3060" w:type="dxa"/>
            <w:vAlign w:val="center"/>
          </w:tcPr>
          <w:p w:rsidR="00BF276F" w:rsidRPr="00B34A0E" w:rsidRDefault="00BF276F" w:rsidP="00ED5632">
            <w:pPr>
              <w:spacing w:line="440" w:lineRule="exact"/>
              <w:jc w:val="center"/>
              <w:rPr>
                <w:rFonts w:ascii="標楷體" w:eastAsia="標楷體" w:hAnsi="標楷體"/>
                <w:sz w:val="28"/>
                <w:szCs w:val="28"/>
              </w:rPr>
            </w:pPr>
            <w:r w:rsidRPr="00B34A0E">
              <w:rPr>
                <w:rFonts w:ascii="標楷體" w:eastAsia="標楷體" w:hAnsi="標楷體" w:hint="eastAsia"/>
                <w:sz w:val="28"/>
                <w:szCs w:val="28"/>
              </w:rPr>
              <w:t>權責單位</w:t>
            </w:r>
          </w:p>
        </w:tc>
      </w:tr>
      <w:tr w:rsidR="00CB032A" w:rsidRPr="00B34A0E" w:rsidTr="00901824">
        <w:trPr>
          <w:trHeight w:val="567"/>
          <w:jc w:val="center"/>
        </w:trPr>
        <w:tc>
          <w:tcPr>
            <w:tcW w:w="5580" w:type="dxa"/>
            <w:vAlign w:val="center"/>
          </w:tcPr>
          <w:p w:rsidR="00CB032A" w:rsidRPr="003132E7" w:rsidRDefault="00CB032A" w:rsidP="003132E7">
            <w:pPr>
              <w:spacing w:line="440" w:lineRule="exact"/>
              <w:ind w:leftChars="-2" w:left="1" w:hangingChars="2"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003132E7" w:rsidRPr="003132E7">
              <w:rPr>
                <w:rFonts w:ascii="標楷體" w:eastAsia="標楷體" w:cs="標楷體" w:hint="eastAsia"/>
                <w:bCs/>
                <w:kern w:val="0"/>
                <w:sz w:val="28"/>
                <w:szCs w:val="28"/>
                <w:lang w:val="zh-TW"/>
              </w:rPr>
              <w:t>財</w:t>
            </w:r>
            <w:r w:rsidRPr="003132E7">
              <w:rPr>
                <w:rFonts w:ascii="標楷體" w:eastAsia="標楷體" w:cs="標楷體" w:hint="eastAsia"/>
                <w:bCs/>
                <w:kern w:val="0"/>
                <w:sz w:val="28"/>
                <w:szCs w:val="28"/>
                <w:lang w:val="zh-TW"/>
              </w:rPr>
              <w:t>產管理業務</w:t>
            </w:r>
          </w:p>
        </w:tc>
        <w:tc>
          <w:tcPr>
            <w:tcW w:w="3060" w:type="dxa"/>
            <w:vAlign w:val="center"/>
          </w:tcPr>
          <w:p w:rsidR="00CB032A" w:rsidRPr="003132E7" w:rsidRDefault="003132E7" w:rsidP="003132E7">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財政稅務局</w:t>
            </w:r>
          </w:p>
        </w:tc>
      </w:tr>
      <w:tr w:rsidR="003132E7" w:rsidRPr="00B34A0E" w:rsidTr="00901824">
        <w:trPr>
          <w:trHeight w:val="567"/>
          <w:jc w:val="center"/>
        </w:trPr>
        <w:tc>
          <w:tcPr>
            <w:tcW w:w="5580" w:type="dxa"/>
            <w:vAlign w:val="center"/>
          </w:tcPr>
          <w:p w:rsidR="003132E7" w:rsidRPr="003132E7" w:rsidRDefault="003132E7" w:rsidP="003132E7">
            <w:pPr>
              <w:autoSpaceDE w:val="0"/>
              <w:autoSpaceDN w:val="0"/>
              <w:adjustRightInd w:val="0"/>
              <w:spacing w:line="360" w:lineRule="atLeast"/>
              <w:ind w:left="1"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出納業務</w:t>
            </w:r>
          </w:p>
        </w:tc>
        <w:tc>
          <w:tcPr>
            <w:tcW w:w="3060" w:type="dxa"/>
            <w:vAlign w:val="center"/>
          </w:tcPr>
          <w:p w:rsidR="003132E7" w:rsidRPr="003132E7" w:rsidRDefault="003132E7" w:rsidP="0095430D">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行政處</w:t>
            </w:r>
            <w:r w:rsidR="005D128A">
              <w:rPr>
                <w:rFonts w:ascii="標楷體" w:eastAsia="標楷體" w:cs="標楷體" w:hint="eastAsia"/>
                <w:kern w:val="0"/>
                <w:sz w:val="28"/>
                <w:szCs w:val="28"/>
                <w:u w:val="single"/>
                <w:lang w:val="zh-TW"/>
              </w:rPr>
              <w:t>、</w:t>
            </w:r>
            <w:r w:rsidR="005D128A" w:rsidRPr="003132E7">
              <w:rPr>
                <w:rFonts w:ascii="標楷體" w:eastAsia="標楷體" w:cs="標楷體" w:hint="eastAsia"/>
                <w:kern w:val="0"/>
                <w:sz w:val="28"/>
                <w:szCs w:val="28"/>
                <w:u w:val="single"/>
                <w:lang w:val="zh-TW"/>
              </w:rPr>
              <w:t>財政稅務局</w:t>
            </w:r>
          </w:p>
        </w:tc>
      </w:tr>
      <w:tr w:rsidR="003132E7" w:rsidRPr="00B34A0E" w:rsidTr="00901824">
        <w:trPr>
          <w:trHeight w:val="567"/>
          <w:jc w:val="center"/>
        </w:trPr>
        <w:tc>
          <w:tcPr>
            <w:tcW w:w="5580" w:type="dxa"/>
            <w:vAlign w:val="center"/>
          </w:tcPr>
          <w:p w:rsidR="003132E7" w:rsidRPr="003132E7" w:rsidRDefault="003132E7" w:rsidP="003132E7">
            <w:pPr>
              <w:spacing w:line="440" w:lineRule="exact"/>
              <w:ind w:leftChars="-2" w:left="1" w:hangingChars="2"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採購業務（政府採購及其管理作業…）</w:t>
            </w:r>
          </w:p>
        </w:tc>
        <w:tc>
          <w:tcPr>
            <w:tcW w:w="3060" w:type="dxa"/>
            <w:vAlign w:val="center"/>
          </w:tcPr>
          <w:p w:rsidR="003132E7" w:rsidRPr="003132E7" w:rsidRDefault="003132E7">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工務處</w:t>
            </w:r>
          </w:p>
        </w:tc>
      </w:tr>
      <w:tr w:rsidR="003132E7" w:rsidRPr="00B34A0E" w:rsidTr="00901824">
        <w:trPr>
          <w:trHeight w:val="1327"/>
          <w:jc w:val="center"/>
        </w:trPr>
        <w:tc>
          <w:tcPr>
            <w:tcW w:w="5580" w:type="dxa"/>
            <w:vAlign w:val="center"/>
          </w:tcPr>
          <w:p w:rsidR="003132E7" w:rsidRPr="003132E7" w:rsidRDefault="003132E7" w:rsidP="003132E7">
            <w:pPr>
              <w:spacing w:line="440" w:lineRule="exact"/>
              <w:ind w:leftChars="-2" w:left="1" w:hangingChars="2"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人事業務（人員進用、薪資、福利、退休…）</w:t>
            </w:r>
          </w:p>
        </w:tc>
        <w:tc>
          <w:tcPr>
            <w:tcW w:w="3060" w:type="dxa"/>
            <w:vAlign w:val="center"/>
          </w:tcPr>
          <w:p w:rsidR="003132E7" w:rsidRPr="003132E7" w:rsidRDefault="003132E7">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人事處</w:t>
            </w:r>
          </w:p>
        </w:tc>
      </w:tr>
      <w:tr w:rsidR="003132E7" w:rsidRPr="00B34A0E" w:rsidTr="00901824">
        <w:trPr>
          <w:trHeight w:val="567"/>
          <w:jc w:val="center"/>
        </w:trPr>
        <w:tc>
          <w:tcPr>
            <w:tcW w:w="5580" w:type="dxa"/>
            <w:vAlign w:val="center"/>
          </w:tcPr>
          <w:p w:rsidR="003132E7" w:rsidRPr="003132E7" w:rsidRDefault="003132E7" w:rsidP="003132E7">
            <w:pPr>
              <w:spacing w:line="440" w:lineRule="exact"/>
              <w:ind w:leftChars="-2" w:left="1" w:hangingChars="2"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政風業務</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貪瀆防弊處理、廉政建設…</w:t>
            </w:r>
            <w:r w:rsidRPr="003132E7">
              <w:rPr>
                <w:rFonts w:ascii="標楷體" w:eastAsia="標楷體" w:cs="標楷體"/>
                <w:bCs/>
                <w:kern w:val="0"/>
                <w:sz w:val="28"/>
                <w:szCs w:val="28"/>
                <w:lang w:val="zh-TW"/>
              </w:rPr>
              <w:t>)</w:t>
            </w:r>
          </w:p>
        </w:tc>
        <w:tc>
          <w:tcPr>
            <w:tcW w:w="3060" w:type="dxa"/>
            <w:vAlign w:val="center"/>
          </w:tcPr>
          <w:p w:rsidR="003132E7" w:rsidRPr="003132E7" w:rsidRDefault="003132E7">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政風處</w:t>
            </w:r>
          </w:p>
        </w:tc>
      </w:tr>
      <w:tr w:rsidR="003132E7" w:rsidRPr="00B34A0E" w:rsidTr="00901824">
        <w:trPr>
          <w:trHeight w:val="567"/>
          <w:jc w:val="center"/>
        </w:trPr>
        <w:tc>
          <w:tcPr>
            <w:tcW w:w="5580" w:type="dxa"/>
            <w:vAlign w:val="center"/>
          </w:tcPr>
          <w:p w:rsidR="003132E7" w:rsidRPr="003132E7" w:rsidRDefault="003132E7" w:rsidP="003132E7">
            <w:pPr>
              <w:spacing w:line="440" w:lineRule="exact"/>
              <w:ind w:leftChars="-2" w:left="1" w:hangingChars="2"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行政管考業務（施政績效評估、年度施政計畫管理、風險管理…）</w:t>
            </w:r>
          </w:p>
        </w:tc>
        <w:tc>
          <w:tcPr>
            <w:tcW w:w="3060" w:type="dxa"/>
            <w:vAlign w:val="center"/>
          </w:tcPr>
          <w:p w:rsidR="003132E7" w:rsidRPr="003132E7" w:rsidRDefault="003132E7">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行政處</w:t>
            </w:r>
          </w:p>
        </w:tc>
      </w:tr>
      <w:tr w:rsidR="003132E7" w:rsidRPr="00B34A0E" w:rsidTr="00E60666">
        <w:trPr>
          <w:trHeight w:val="567"/>
          <w:jc w:val="center"/>
        </w:trPr>
        <w:tc>
          <w:tcPr>
            <w:tcW w:w="5580" w:type="dxa"/>
            <w:vAlign w:val="center"/>
          </w:tcPr>
          <w:p w:rsidR="003132E7" w:rsidRPr="003132E7" w:rsidRDefault="003132E7" w:rsidP="003132E7">
            <w:pPr>
              <w:spacing w:line="440" w:lineRule="exact"/>
              <w:ind w:leftChars="-2" w:left="1" w:hangingChars="2" w:hanging="6"/>
              <w:rPr>
                <w:rFonts w:ascii="新細明體" w:cs="新細明體"/>
                <w:kern w:val="0"/>
                <w:sz w:val="22"/>
                <w:lang w:val="zh-TW"/>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資訊安全業務</w:t>
            </w:r>
          </w:p>
        </w:tc>
        <w:tc>
          <w:tcPr>
            <w:tcW w:w="3060" w:type="dxa"/>
            <w:vAlign w:val="center"/>
          </w:tcPr>
          <w:p w:rsidR="003132E7" w:rsidRPr="003132E7" w:rsidRDefault="003132E7">
            <w:pPr>
              <w:autoSpaceDE w:val="0"/>
              <w:autoSpaceDN w:val="0"/>
              <w:adjustRightInd w:val="0"/>
              <w:spacing w:line="360" w:lineRule="atLeast"/>
              <w:jc w:val="center"/>
              <w:rPr>
                <w:rFonts w:ascii="新細明體" w:cs="新細明體"/>
                <w:kern w:val="0"/>
                <w:sz w:val="22"/>
                <w:u w:val="single"/>
                <w:lang w:val="zh-TW"/>
              </w:rPr>
            </w:pPr>
            <w:r w:rsidRPr="003132E7">
              <w:rPr>
                <w:rFonts w:ascii="標楷體" w:eastAsia="標楷體" w:cs="標楷體" w:hint="eastAsia"/>
                <w:kern w:val="0"/>
                <w:sz w:val="28"/>
                <w:szCs w:val="28"/>
                <w:u w:val="single"/>
                <w:lang w:val="zh-TW"/>
              </w:rPr>
              <w:t>行政處</w:t>
            </w:r>
          </w:p>
        </w:tc>
      </w:tr>
      <w:tr w:rsidR="003132E7" w:rsidRPr="00B34A0E" w:rsidTr="00CB032A">
        <w:trPr>
          <w:trHeight w:val="567"/>
          <w:jc w:val="center"/>
        </w:trPr>
        <w:tc>
          <w:tcPr>
            <w:tcW w:w="5580" w:type="dxa"/>
            <w:vAlign w:val="center"/>
          </w:tcPr>
          <w:p w:rsidR="003132E7" w:rsidRPr="003132E7" w:rsidRDefault="003132E7" w:rsidP="00CB032A">
            <w:pPr>
              <w:spacing w:line="440" w:lineRule="exact"/>
              <w:ind w:leftChars="-2" w:left="1" w:hangingChars="2" w:hanging="6"/>
              <w:rPr>
                <w:rFonts w:ascii="標楷體" w:eastAsia="標楷體" w:hAnsi="標楷體"/>
              </w:rPr>
            </w:pPr>
            <w:r w:rsidRPr="003132E7">
              <w:rPr>
                <w:rFonts w:ascii="標楷體" w:eastAsia="標楷體" w:cs="標楷體" w:hint="eastAsia"/>
                <w:bCs/>
                <w:kern w:val="0"/>
                <w:sz w:val="28"/>
                <w:szCs w:val="28"/>
                <w:lang w:val="zh-TW"/>
              </w:rPr>
              <w:t>研訂標準化作業流程及控制重點</w:t>
            </w:r>
            <w:r w:rsidRPr="003132E7">
              <w:rPr>
                <w:rFonts w:ascii="標楷體" w:eastAsia="標楷體" w:cs="標楷體"/>
                <w:bCs/>
                <w:kern w:val="0"/>
                <w:sz w:val="28"/>
                <w:szCs w:val="28"/>
                <w:lang w:val="zh-TW"/>
              </w:rPr>
              <w:t>-</w:t>
            </w:r>
            <w:r w:rsidRPr="003132E7">
              <w:rPr>
                <w:rFonts w:ascii="標楷體" w:eastAsia="標楷體" w:cs="標楷體" w:hint="eastAsia"/>
                <w:bCs/>
                <w:kern w:val="0"/>
                <w:sz w:val="28"/>
                <w:szCs w:val="28"/>
                <w:lang w:val="zh-TW"/>
              </w:rPr>
              <w:t>主計業務</w:t>
            </w:r>
            <w:r w:rsidRPr="003132E7">
              <w:rPr>
                <w:rFonts w:ascii="標楷體" w:eastAsia="標楷體" w:cs="標楷體" w:hint="eastAsia"/>
                <w:kern w:val="0"/>
                <w:sz w:val="28"/>
                <w:szCs w:val="28"/>
                <w:lang w:val="zh-TW"/>
              </w:rPr>
              <w:t>（概算籌編、預算案審查、收支內部審核、會計報告及決算編製、統計調查管理…）</w:t>
            </w:r>
          </w:p>
        </w:tc>
        <w:tc>
          <w:tcPr>
            <w:tcW w:w="3060" w:type="dxa"/>
            <w:vAlign w:val="center"/>
          </w:tcPr>
          <w:p w:rsidR="003132E7" w:rsidRPr="003132E7" w:rsidRDefault="003132E7" w:rsidP="00CB032A">
            <w:pPr>
              <w:jc w:val="center"/>
              <w:rPr>
                <w:u w:val="single"/>
              </w:rPr>
            </w:pPr>
            <w:r w:rsidRPr="003132E7">
              <w:rPr>
                <w:rFonts w:ascii="標楷體" w:eastAsia="標楷體" w:cs="標楷體" w:hint="eastAsia"/>
                <w:kern w:val="0"/>
                <w:sz w:val="28"/>
                <w:szCs w:val="28"/>
                <w:u w:val="single"/>
                <w:lang w:val="zh-TW"/>
              </w:rPr>
              <w:t>主計處</w:t>
            </w:r>
          </w:p>
        </w:tc>
      </w:tr>
    </w:tbl>
    <w:p w:rsidR="00BF276F" w:rsidRDefault="00BF276F" w:rsidP="008F6503">
      <w:pPr>
        <w:autoSpaceDE w:val="0"/>
        <w:autoSpaceDN w:val="0"/>
        <w:adjustRightInd w:val="0"/>
        <w:spacing w:line="440" w:lineRule="exact"/>
        <w:ind w:firstLine="560"/>
        <w:jc w:val="both"/>
        <w:rPr>
          <w:rFonts w:ascii="Times New Roman" w:eastAsia="標楷體" w:hAnsi="Times New Roman"/>
          <w:sz w:val="28"/>
          <w:szCs w:val="28"/>
        </w:rPr>
      </w:pPr>
    </w:p>
    <w:sectPr w:rsidR="00BF276F" w:rsidSect="002B4E8C">
      <w:headerReference w:type="default" r:id="rId6"/>
      <w:footerReference w:type="default" r:id="rId7"/>
      <w:pgSz w:w="11906" w:h="16838"/>
      <w:pgMar w:top="1440" w:right="1133" w:bottom="1440" w:left="1560" w:header="851" w:footer="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B0" w:rsidRDefault="000776B0" w:rsidP="00873E05">
      <w:r>
        <w:separator/>
      </w:r>
    </w:p>
  </w:endnote>
  <w:endnote w:type="continuationSeparator" w:id="1">
    <w:p w:rsidR="000776B0" w:rsidRDefault="000776B0" w:rsidP="00873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F" w:rsidRDefault="00BF276F" w:rsidP="002B4E8C">
    <w:pPr>
      <w:pStyle w:val="a7"/>
      <w:jc w:val="center"/>
    </w:pPr>
    <w:r w:rsidRPr="00CB2B0C">
      <w:rPr>
        <w:rFonts w:ascii="標楷體" w:eastAsia="標楷體" w:hAnsi="標楷體" w:hint="eastAsia"/>
      </w:rPr>
      <w:t>第</w:t>
    </w:r>
    <w:r w:rsidR="00E36851">
      <w:rPr>
        <w:rStyle w:val="ab"/>
      </w:rPr>
      <w:fldChar w:fldCharType="begin"/>
    </w:r>
    <w:r>
      <w:rPr>
        <w:rStyle w:val="ab"/>
      </w:rPr>
      <w:instrText xml:space="preserve"> PAGE </w:instrText>
    </w:r>
    <w:r w:rsidR="00E36851">
      <w:rPr>
        <w:rStyle w:val="ab"/>
      </w:rPr>
      <w:fldChar w:fldCharType="separate"/>
    </w:r>
    <w:r w:rsidR="005D128A">
      <w:rPr>
        <w:rStyle w:val="ab"/>
        <w:noProof/>
      </w:rPr>
      <w:t>2</w:t>
    </w:r>
    <w:r w:rsidR="00E36851">
      <w:rPr>
        <w:rStyle w:val="ab"/>
      </w:rPr>
      <w:fldChar w:fldCharType="end"/>
    </w:r>
    <w:r w:rsidRPr="00CB2B0C">
      <w:rPr>
        <w:rFonts w:ascii="標楷體" w:eastAsia="標楷體" w:hAnsi="標楷體" w:hint="eastAsia"/>
      </w:rPr>
      <w:t>頁</w:t>
    </w:r>
    <w:r w:rsidRPr="00CB2B0C">
      <w:rPr>
        <w:rFonts w:ascii="標楷體" w:eastAsia="標楷體" w:hAnsi="標楷體"/>
      </w:rPr>
      <w:t>(</w:t>
    </w:r>
    <w:r w:rsidRPr="00CB2B0C">
      <w:rPr>
        <w:rFonts w:ascii="標楷體" w:eastAsia="標楷體" w:hAnsi="標楷體" w:hint="eastAsia"/>
      </w:rPr>
      <w:t>共</w:t>
    </w:r>
    <w:r w:rsidR="00E36851" w:rsidRPr="00CB2B0C">
      <w:rPr>
        <w:rStyle w:val="ab"/>
        <w:rFonts w:ascii="標楷體" w:eastAsia="標楷體" w:hAnsi="標楷體"/>
      </w:rPr>
      <w:fldChar w:fldCharType="begin"/>
    </w:r>
    <w:r w:rsidRPr="00CB2B0C">
      <w:rPr>
        <w:rStyle w:val="ab"/>
        <w:rFonts w:ascii="標楷體" w:eastAsia="標楷體" w:hAnsi="標楷體"/>
      </w:rPr>
      <w:instrText xml:space="preserve"> NUMPAGES </w:instrText>
    </w:r>
    <w:r w:rsidR="00E36851" w:rsidRPr="00CB2B0C">
      <w:rPr>
        <w:rStyle w:val="ab"/>
        <w:rFonts w:ascii="標楷體" w:eastAsia="標楷體" w:hAnsi="標楷體"/>
      </w:rPr>
      <w:fldChar w:fldCharType="separate"/>
    </w:r>
    <w:r w:rsidR="005D128A">
      <w:rPr>
        <w:rStyle w:val="ab"/>
        <w:rFonts w:ascii="標楷體" w:eastAsia="標楷體" w:hAnsi="標楷體"/>
        <w:noProof/>
      </w:rPr>
      <w:t>4</w:t>
    </w:r>
    <w:r w:rsidR="00E36851" w:rsidRPr="00CB2B0C">
      <w:rPr>
        <w:rStyle w:val="ab"/>
        <w:rFonts w:ascii="標楷體" w:eastAsia="標楷體" w:hAnsi="標楷體"/>
      </w:rPr>
      <w:fldChar w:fldCharType="end"/>
    </w:r>
    <w:r w:rsidRPr="00CB2B0C">
      <w:rPr>
        <w:rStyle w:val="ab"/>
        <w:rFonts w:ascii="標楷體" w:eastAsia="標楷體" w:hAnsi="標楷體" w:hint="eastAsia"/>
      </w:rPr>
      <w:t>頁</w:t>
    </w:r>
    <w:r w:rsidRPr="00CB2B0C">
      <w:rPr>
        <w:rStyle w:val="ab"/>
        <w:rFonts w:ascii="標楷體" w:eastAsia="標楷體" w:hAnsi="標楷體"/>
      </w:rPr>
      <w:t>)</w:t>
    </w:r>
  </w:p>
  <w:p w:rsidR="00BF276F" w:rsidRDefault="00BF276F" w:rsidP="002B4E8C">
    <w:pPr>
      <w:pStyle w:val="a7"/>
      <w:jc w:val="right"/>
    </w:pPr>
  </w:p>
  <w:p w:rsidR="00BF276F" w:rsidRDefault="00BF27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B0" w:rsidRDefault="000776B0" w:rsidP="00873E05">
      <w:r>
        <w:separator/>
      </w:r>
    </w:p>
  </w:footnote>
  <w:footnote w:type="continuationSeparator" w:id="1">
    <w:p w:rsidR="000776B0" w:rsidRDefault="000776B0" w:rsidP="0087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F" w:rsidRDefault="00BF276F">
    <w:pPr>
      <w:pStyle w:val="a5"/>
    </w:pPr>
  </w:p>
  <w:p w:rsidR="00BF276F" w:rsidRDefault="00BF276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7D0"/>
    <w:rsid w:val="00005E76"/>
    <w:rsid w:val="00016569"/>
    <w:rsid w:val="00024099"/>
    <w:rsid w:val="00045A91"/>
    <w:rsid w:val="000501B9"/>
    <w:rsid w:val="000776B0"/>
    <w:rsid w:val="000B7259"/>
    <w:rsid w:val="000C18D3"/>
    <w:rsid w:val="000F1EEB"/>
    <w:rsid w:val="001503AE"/>
    <w:rsid w:val="00166866"/>
    <w:rsid w:val="00170715"/>
    <w:rsid w:val="001714FA"/>
    <w:rsid w:val="001867D3"/>
    <w:rsid w:val="00191D12"/>
    <w:rsid w:val="001C1D6A"/>
    <w:rsid w:val="00213BDF"/>
    <w:rsid w:val="00225135"/>
    <w:rsid w:val="00225B58"/>
    <w:rsid w:val="00231E6F"/>
    <w:rsid w:val="00237DA5"/>
    <w:rsid w:val="00254CC5"/>
    <w:rsid w:val="00281CE4"/>
    <w:rsid w:val="002921F8"/>
    <w:rsid w:val="002B411C"/>
    <w:rsid w:val="002B4E8C"/>
    <w:rsid w:val="002B544B"/>
    <w:rsid w:val="002C38D4"/>
    <w:rsid w:val="002C6674"/>
    <w:rsid w:val="003132E7"/>
    <w:rsid w:val="00322CB3"/>
    <w:rsid w:val="00326A60"/>
    <w:rsid w:val="00333D2A"/>
    <w:rsid w:val="00333F46"/>
    <w:rsid w:val="00344C9B"/>
    <w:rsid w:val="00346D8B"/>
    <w:rsid w:val="00352F11"/>
    <w:rsid w:val="003645DA"/>
    <w:rsid w:val="00387317"/>
    <w:rsid w:val="003C4C49"/>
    <w:rsid w:val="003F61F4"/>
    <w:rsid w:val="004608D6"/>
    <w:rsid w:val="00472B19"/>
    <w:rsid w:val="00474501"/>
    <w:rsid w:val="004A06AA"/>
    <w:rsid w:val="004C5EAD"/>
    <w:rsid w:val="004D364A"/>
    <w:rsid w:val="004D65F4"/>
    <w:rsid w:val="004D6BFA"/>
    <w:rsid w:val="005160B1"/>
    <w:rsid w:val="00571CD9"/>
    <w:rsid w:val="00572876"/>
    <w:rsid w:val="00574E06"/>
    <w:rsid w:val="00595FF4"/>
    <w:rsid w:val="005B38D7"/>
    <w:rsid w:val="005B402B"/>
    <w:rsid w:val="005D128A"/>
    <w:rsid w:val="005F0C5E"/>
    <w:rsid w:val="005F57F1"/>
    <w:rsid w:val="0061347F"/>
    <w:rsid w:val="00622E29"/>
    <w:rsid w:val="00642911"/>
    <w:rsid w:val="00644BDE"/>
    <w:rsid w:val="00653F40"/>
    <w:rsid w:val="00657DA8"/>
    <w:rsid w:val="006C6B06"/>
    <w:rsid w:val="006C70D5"/>
    <w:rsid w:val="00705749"/>
    <w:rsid w:val="00706030"/>
    <w:rsid w:val="007203D4"/>
    <w:rsid w:val="00733609"/>
    <w:rsid w:val="00756197"/>
    <w:rsid w:val="00783F08"/>
    <w:rsid w:val="007B25E5"/>
    <w:rsid w:val="007F2ECD"/>
    <w:rsid w:val="008077C2"/>
    <w:rsid w:val="00823A02"/>
    <w:rsid w:val="00840760"/>
    <w:rsid w:val="00873E05"/>
    <w:rsid w:val="0089744A"/>
    <w:rsid w:val="008A037B"/>
    <w:rsid w:val="008A03C7"/>
    <w:rsid w:val="008C4965"/>
    <w:rsid w:val="008C4AE6"/>
    <w:rsid w:val="008F45AF"/>
    <w:rsid w:val="008F6432"/>
    <w:rsid w:val="008F6503"/>
    <w:rsid w:val="00901824"/>
    <w:rsid w:val="00936960"/>
    <w:rsid w:val="00961874"/>
    <w:rsid w:val="009A6BA2"/>
    <w:rsid w:val="009B1D35"/>
    <w:rsid w:val="00A025CA"/>
    <w:rsid w:val="00A11A2A"/>
    <w:rsid w:val="00A304CE"/>
    <w:rsid w:val="00A35267"/>
    <w:rsid w:val="00A37934"/>
    <w:rsid w:val="00A40097"/>
    <w:rsid w:val="00A44FC6"/>
    <w:rsid w:val="00A551F1"/>
    <w:rsid w:val="00A65E43"/>
    <w:rsid w:val="00A73CC1"/>
    <w:rsid w:val="00A83365"/>
    <w:rsid w:val="00A9174E"/>
    <w:rsid w:val="00B06BCC"/>
    <w:rsid w:val="00B145EF"/>
    <w:rsid w:val="00B2344D"/>
    <w:rsid w:val="00B3079D"/>
    <w:rsid w:val="00B34A0E"/>
    <w:rsid w:val="00B461EF"/>
    <w:rsid w:val="00B56B78"/>
    <w:rsid w:val="00B649E9"/>
    <w:rsid w:val="00B90E37"/>
    <w:rsid w:val="00BC1E82"/>
    <w:rsid w:val="00BC611F"/>
    <w:rsid w:val="00BF276F"/>
    <w:rsid w:val="00C01156"/>
    <w:rsid w:val="00C203EC"/>
    <w:rsid w:val="00C40692"/>
    <w:rsid w:val="00CB032A"/>
    <w:rsid w:val="00CB2B0C"/>
    <w:rsid w:val="00CB5DD5"/>
    <w:rsid w:val="00CB774A"/>
    <w:rsid w:val="00CB7DEC"/>
    <w:rsid w:val="00CC4112"/>
    <w:rsid w:val="00CE643F"/>
    <w:rsid w:val="00D161A7"/>
    <w:rsid w:val="00D330DA"/>
    <w:rsid w:val="00D52E42"/>
    <w:rsid w:val="00D572EA"/>
    <w:rsid w:val="00D61692"/>
    <w:rsid w:val="00D6258E"/>
    <w:rsid w:val="00D65F4A"/>
    <w:rsid w:val="00D73961"/>
    <w:rsid w:val="00D851A5"/>
    <w:rsid w:val="00D97835"/>
    <w:rsid w:val="00DB1943"/>
    <w:rsid w:val="00DD71E7"/>
    <w:rsid w:val="00E01B54"/>
    <w:rsid w:val="00E1555F"/>
    <w:rsid w:val="00E36851"/>
    <w:rsid w:val="00E41DB0"/>
    <w:rsid w:val="00E460DC"/>
    <w:rsid w:val="00E71B5C"/>
    <w:rsid w:val="00E838FE"/>
    <w:rsid w:val="00E90C09"/>
    <w:rsid w:val="00EC3DD1"/>
    <w:rsid w:val="00EC5867"/>
    <w:rsid w:val="00ED5632"/>
    <w:rsid w:val="00ED7580"/>
    <w:rsid w:val="00EE12BA"/>
    <w:rsid w:val="00F14919"/>
    <w:rsid w:val="00F22D7E"/>
    <w:rsid w:val="00F61016"/>
    <w:rsid w:val="00F65B18"/>
    <w:rsid w:val="00F66218"/>
    <w:rsid w:val="00F66BB6"/>
    <w:rsid w:val="00F827D0"/>
    <w:rsid w:val="00F84AFA"/>
    <w:rsid w:val="00FB08B4"/>
    <w:rsid w:val="00FB30FF"/>
    <w:rsid w:val="00FB31F1"/>
    <w:rsid w:val="00FC20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D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C3DD1"/>
    <w:rPr>
      <w:rFonts w:ascii="Cambria" w:hAnsi="Cambria"/>
      <w:sz w:val="18"/>
      <w:szCs w:val="18"/>
    </w:rPr>
  </w:style>
  <w:style w:type="character" w:customStyle="1" w:styleId="a4">
    <w:name w:val="註解方塊文字 字元"/>
    <w:basedOn w:val="a0"/>
    <w:link w:val="a3"/>
    <w:uiPriority w:val="99"/>
    <w:semiHidden/>
    <w:locked/>
    <w:rsid w:val="00EC3DD1"/>
    <w:rPr>
      <w:rFonts w:ascii="Cambria" w:eastAsia="新細明體" w:hAnsi="Cambria" w:cs="Times New Roman"/>
      <w:sz w:val="18"/>
      <w:szCs w:val="18"/>
    </w:rPr>
  </w:style>
  <w:style w:type="paragraph" w:customStyle="1" w:styleId="Default">
    <w:name w:val="Default"/>
    <w:uiPriority w:val="99"/>
    <w:rsid w:val="00237DA5"/>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rsid w:val="00873E05"/>
    <w:pPr>
      <w:tabs>
        <w:tab w:val="center" w:pos="4153"/>
        <w:tab w:val="right" w:pos="8306"/>
      </w:tabs>
      <w:snapToGrid w:val="0"/>
    </w:pPr>
    <w:rPr>
      <w:sz w:val="20"/>
      <w:szCs w:val="20"/>
    </w:rPr>
  </w:style>
  <w:style w:type="character" w:customStyle="1" w:styleId="a6">
    <w:name w:val="頁首 字元"/>
    <w:basedOn w:val="a0"/>
    <w:link w:val="a5"/>
    <w:uiPriority w:val="99"/>
    <w:locked/>
    <w:rsid w:val="00873E05"/>
    <w:rPr>
      <w:rFonts w:cs="Times New Roman"/>
      <w:sz w:val="20"/>
      <w:szCs w:val="20"/>
    </w:rPr>
  </w:style>
  <w:style w:type="paragraph" w:styleId="a7">
    <w:name w:val="footer"/>
    <w:basedOn w:val="a"/>
    <w:link w:val="a8"/>
    <w:uiPriority w:val="99"/>
    <w:rsid w:val="00873E05"/>
    <w:pPr>
      <w:tabs>
        <w:tab w:val="center" w:pos="4153"/>
        <w:tab w:val="right" w:pos="8306"/>
      </w:tabs>
      <w:snapToGrid w:val="0"/>
    </w:pPr>
    <w:rPr>
      <w:sz w:val="20"/>
      <w:szCs w:val="20"/>
    </w:rPr>
  </w:style>
  <w:style w:type="character" w:customStyle="1" w:styleId="a8">
    <w:name w:val="頁尾 字元"/>
    <w:basedOn w:val="a0"/>
    <w:link w:val="a7"/>
    <w:uiPriority w:val="99"/>
    <w:locked/>
    <w:rsid w:val="00873E05"/>
    <w:rPr>
      <w:rFonts w:cs="Times New Roman"/>
      <w:sz w:val="20"/>
      <w:szCs w:val="20"/>
    </w:rPr>
  </w:style>
  <w:style w:type="character" w:customStyle="1" w:styleId="dialogtext1">
    <w:name w:val="dialog_text1"/>
    <w:basedOn w:val="a0"/>
    <w:rsid w:val="00642911"/>
    <w:rPr>
      <w:rFonts w:ascii="s?u" w:hAnsi="s?u" w:cs="Times New Roman"/>
      <w:color w:val="000000"/>
      <w:sz w:val="24"/>
      <w:szCs w:val="24"/>
    </w:rPr>
  </w:style>
  <w:style w:type="paragraph" w:styleId="a9">
    <w:name w:val="Body Text"/>
    <w:basedOn w:val="a"/>
    <w:link w:val="aa"/>
    <w:uiPriority w:val="99"/>
    <w:rsid w:val="00A9174E"/>
    <w:pPr>
      <w:tabs>
        <w:tab w:val="left" w:pos="10440"/>
      </w:tabs>
      <w:spacing w:after="120" w:line="460" w:lineRule="exact"/>
      <w:jc w:val="both"/>
    </w:pPr>
    <w:rPr>
      <w:rFonts w:ascii="Times New Roman" w:eastAsia="標楷體" w:hAnsi="Times New Roman"/>
      <w:b/>
      <w:bCs/>
      <w:sz w:val="40"/>
      <w:szCs w:val="24"/>
    </w:rPr>
  </w:style>
  <w:style w:type="character" w:customStyle="1" w:styleId="aa">
    <w:name w:val="本文 字元"/>
    <w:basedOn w:val="a0"/>
    <w:link w:val="a9"/>
    <w:uiPriority w:val="99"/>
    <w:locked/>
    <w:rsid w:val="00A9174E"/>
    <w:rPr>
      <w:rFonts w:ascii="Times New Roman" w:eastAsia="標楷體" w:hAnsi="Times New Roman" w:cs="Times New Roman"/>
      <w:b/>
      <w:bCs/>
      <w:sz w:val="24"/>
      <w:szCs w:val="24"/>
    </w:rPr>
  </w:style>
  <w:style w:type="character" w:styleId="ab">
    <w:name w:val="page number"/>
    <w:basedOn w:val="a0"/>
    <w:uiPriority w:val="99"/>
    <w:rsid w:val="002B4E8C"/>
    <w:rPr>
      <w:rFonts w:cs="Times New Roman"/>
    </w:rPr>
  </w:style>
  <w:style w:type="paragraph" w:styleId="ac">
    <w:name w:val="Date"/>
    <w:basedOn w:val="a"/>
    <w:next w:val="a"/>
    <w:link w:val="ad"/>
    <w:uiPriority w:val="99"/>
    <w:rsid w:val="00A44FC6"/>
    <w:pPr>
      <w:jc w:val="right"/>
    </w:pPr>
  </w:style>
  <w:style w:type="character" w:customStyle="1" w:styleId="ad">
    <w:name w:val="日期 字元"/>
    <w:basedOn w:val="a0"/>
    <w:link w:val="ac"/>
    <w:uiPriority w:val="99"/>
    <w:semiHidden/>
    <w:locked/>
    <w:rsid w:val="0047450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310</Words>
  <Characters>1770</Characters>
  <Application>Microsoft Office Word</Application>
  <DocSecurity>0</DocSecurity>
  <Lines>14</Lines>
  <Paragraphs>4</Paragraphs>
  <ScaleCrop>false</ScaleCrop>
  <Company>HOME</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基隆市政府強化內部控制實施方案(草案)</dc:title>
  <dc:creator>USER</dc:creator>
  <cp:lastModifiedBy>Think</cp:lastModifiedBy>
  <cp:revision>13</cp:revision>
  <cp:lastPrinted>2017-02-12T07:16:00Z</cp:lastPrinted>
  <dcterms:created xsi:type="dcterms:W3CDTF">2017-02-12T06:12:00Z</dcterms:created>
  <dcterms:modified xsi:type="dcterms:W3CDTF">2017-05-28T03:36:00Z</dcterms:modified>
</cp:coreProperties>
</file>