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AC" w:rsidRPr="00AA1B75" w:rsidRDefault="002332AC" w:rsidP="002332AC">
      <w:pPr>
        <w:spacing w:after="0" w:line="460" w:lineRule="exact"/>
        <w:ind w:right="72" w:firstLineChars="550" w:firstLine="2640"/>
        <w:rPr>
          <w:rFonts w:ascii="標楷體" w:eastAsia="標楷體" w:hAnsi="標楷體"/>
        </w:rPr>
      </w:pPr>
      <w:r w:rsidRPr="00AA1B75">
        <w:rPr>
          <w:rFonts w:ascii="標楷體" w:eastAsia="標楷體" w:hAnsi="標楷體" w:cs="Microsoft YaHei"/>
          <w:sz w:val="48"/>
        </w:rPr>
        <w:t xml:space="preserve">行政訴訟起訴狀 </w:t>
      </w:r>
    </w:p>
    <w:p w:rsidR="002332AC" w:rsidRPr="00AA1B75" w:rsidRDefault="002332AC" w:rsidP="002332AC">
      <w:pPr>
        <w:spacing w:after="0" w:line="460" w:lineRule="exact"/>
        <w:ind w:left="88"/>
        <w:jc w:val="center"/>
        <w:rPr>
          <w:rFonts w:ascii="標楷體" w:eastAsia="標楷體" w:hAnsi="標楷體"/>
        </w:rPr>
      </w:pPr>
      <w:r w:rsidRPr="00AA1B75">
        <w:rPr>
          <w:rFonts w:ascii="標楷體" w:eastAsia="標楷體" w:hAnsi="標楷體" w:cs="Microsoft YaHei"/>
          <w:sz w:val="32"/>
        </w:rPr>
        <w:t xml:space="preserve"> </w:t>
      </w:r>
    </w:p>
    <w:tbl>
      <w:tblPr>
        <w:tblW w:w="60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364"/>
      </w:tblGrid>
      <w:tr w:rsidR="002332AC" w:rsidRPr="00AA1B75" w:rsidTr="002332AC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原 告：   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jc w:val="both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國民身分證統一編號： </w:t>
            </w:r>
          </w:p>
        </w:tc>
      </w:tr>
      <w:tr w:rsidR="002332AC" w:rsidRPr="00AA1B75" w:rsidTr="002332AC">
        <w:trPr>
          <w:trHeight w:val="4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性別： </w:t>
            </w:r>
          </w:p>
        </w:tc>
      </w:tr>
      <w:tr w:rsidR="002332AC" w:rsidRPr="00AA1B75" w:rsidTr="002332AC">
        <w:trPr>
          <w:trHeight w:val="4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生日： </w:t>
            </w:r>
          </w:p>
        </w:tc>
      </w:tr>
      <w:tr w:rsidR="002332AC" w:rsidRPr="00AA1B75" w:rsidTr="002332AC">
        <w:trPr>
          <w:trHeight w:val="4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職業： </w:t>
            </w:r>
          </w:p>
        </w:tc>
      </w:tr>
      <w:tr w:rsidR="002332AC" w:rsidRPr="00AA1B75" w:rsidTr="002332AC">
        <w:trPr>
          <w:trHeight w:val="4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住所： </w:t>
            </w:r>
          </w:p>
        </w:tc>
      </w:tr>
      <w:tr w:rsidR="002332AC" w:rsidRPr="00AA1B75" w:rsidTr="002332AC">
        <w:trPr>
          <w:trHeight w:val="4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郵遞區號： </w:t>
            </w:r>
          </w:p>
        </w:tc>
      </w:tr>
      <w:tr w:rsidR="002332AC" w:rsidRPr="00AA1B75" w:rsidTr="002332AC">
        <w:trPr>
          <w:trHeight w:val="4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電話： </w:t>
            </w:r>
          </w:p>
        </w:tc>
      </w:tr>
      <w:tr w:rsidR="002332AC" w:rsidRPr="00AA1B75" w:rsidTr="002332AC">
        <w:trPr>
          <w:trHeight w:val="4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傳真： </w:t>
            </w:r>
          </w:p>
        </w:tc>
      </w:tr>
      <w:tr w:rsidR="002332AC" w:rsidRPr="00AA1B75" w:rsidTr="002332AC">
        <w:trPr>
          <w:trHeight w:val="44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送達代收人： </w:t>
            </w:r>
          </w:p>
        </w:tc>
      </w:tr>
      <w:tr w:rsidR="002332AC" w:rsidRPr="00AA1B75" w:rsidTr="002332AC">
        <w:trPr>
          <w:trHeight w:val="36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 </w:t>
            </w:r>
          </w:p>
        </w:tc>
        <w:tc>
          <w:tcPr>
            <w:tcW w:w="3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32AC" w:rsidRPr="00AA1B75" w:rsidRDefault="002332AC" w:rsidP="002332AC">
            <w:pPr>
              <w:spacing w:after="0" w:line="460" w:lineRule="exact"/>
              <w:rPr>
                <w:rFonts w:ascii="標楷體" w:eastAsia="標楷體" w:hAnsi="標楷體"/>
              </w:rPr>
            </w:pPr>
            <w:r w:rsidRPr="00AA1B75">
              <w:rPr>
                <w:rFonts w:ascii="標楷體" w:eastAsia="標楷體" w:hAnsi="標楷體" w:cs="Microsoft YaHei"/>
                <w:sz w:val="28"/>
              </w:rPr>
              <w:t xml:space="preserve">送達處所： </w:t>
            </w:r>
          </w:p>
        </w:tc>
      </w:tr>
    </w:tbl>
    <w:p w:rsidR="002332AC" w:rsidRPr="00AA1B75" w:rsidRDefault="002332AC" w:rsidP="002332AC">
      <w:pPr>
        <w:spacing w:after="90" w:line="460" w:lineRule="exact"/>
        <w:ind w:left="-4" w:hanging="10"/>
        <w:rPr>
          <w:rFonts w:ascii="標楷體" w:eastAsia="標楷體" w:hAnsi="標楷體"/>
        </w:rPr>
      </w:pPr>
      <w:r w:rsidRPr="00AA1B75">
        <w:rPr>
          <w:rFonts w:ascii="標楷體" w:eastAsia="標楷體" w:hAnsi="標楷體" w:cs="Microsoft YaHei"/>
          <w:sz w:val="28"/>
        </w:rPr>
        <w:t xml:space="preserve">被 </w:t>
      </w:r>
      <w:r>
        <w:rPr>
          <w:rFonts w:ascii="標楷體" w:eastAsia="標楷體" w:hAnsi="標楷體" w:cs="Microsoft YaHei" w:hint="eastAsia"/>
          <w:sz w:val="28"/>
          <w:lang w:eastAsia="zh-TW"/>
        </w:rPr>
        <w:t xml:space="preserve"> </w:t>
      </w:r>
      <w:r w:rsidRPr="00AA1B75">
        <w:rPr>
          <w:rFonts w:ascii="標楷體" w:eastAsia="標楷體" w:hAnsi="標楷體" w:cs="Microsoft YaHei"/>
          <w:sz w:val="28"/>
        </w:rPr>
        <w:t xml:space="preserve">告：銓敘部 </w:t>
      </w:r>
    </w:p>
    <w:p w:rsidR="002332AC" w:rsidRPr="00AA1B75" w:rsidRDefault="002332AC" w:rsidP="002332AC">
      <w:pPr>
        <w:spacing w:after="90" w:line="460" w:lineRule="exact"/>
        <w:ind w:left="-4" w:hanging="10"/>
        <w:rPr>
          <w:rFonts w:ascii="標楷體" w:eastAsia="標楷體" w:hAnsi="標楷體"/>
        </w:rPr>
      </w:pPr>
      <w:r w:rsidRPr="00AA1B75">
        <w:rPr>
          <w:rFonts w:ascii="標楷體" w:eastAsia="標楷體" w:hAnsi="標楷體" w:cs="Microsoft YaHei"/>
          <w:sz w:val="28"/>
        </w:rPr>
        <w:t xml:space="preserve">代表人：周弘憲部長 </w:t>
      </w:r>
    </w:p>
    <w:p w:rsidR="002332AC" w:rsidRDefault="002332AC" w:rsidP="002332AC">
      <w:pPr>
        <w:spacing w:after="181" w:line="460" w:lineRule="exact"/>
        <w:ind w:left="4760" w:right="-2" w:hangingChars="1700" w:hanging="4760"/>
        <w:jc w:val="both"/>
        <w:rPr>
          <w:rFonts w:ascii="標楷體" w:eastAsia="標楷體" w:hAnsi="標楷體" w:cs="Microsoft YaHei" w:hint="eastAsia"/>
          <w:sz w:val="28"/>
          <w:lang w:eastAsia="zh-TW"/>
        </w:rPr>
      </w:pPr>
      <w:r w:rsidRPr="00AA1B75">
        <w:rPr>
          <w:rFonts w:ascii="標楷體" w:eastAsia="標楷體" w:hAnsi="標楷體" w:cs="Microsoft YaHei"/>
          <w:sz w:val="28"/>
        </w:rPr>
        <w:t>復審決定日期及字號：公務人員保障暨培訓委員會</w:t>
      </w:r>
      <w:r>
        <w:rPr>
          <w:rFonts w:ascii="標楷體" w:eastAsia="標楷體" w:hAnsi="標楷體" w:cs="Microsoft YaHei"/>
          <w:sz w:val="28"/>
        </w:rPr>
        <w:t xml:space="preserve"> 　</w:t>
      </w:r>
      <w:r>
        <w:rPr>
          <w:rFonts w:ascii="標楷體" w:eastAsia="標楷體" w:hAnsi="標楷體" w:cs="Microsoft YaHei" w:hint="eastAsia"/>
          <w:sz w:val="28"/>
          <w:lang w:eastAsia="zh-TW"/>
        </w:rPr>
        <w:t xml:space="preserve"> </w:t>
      </w:r>
      <w:r>
        <w:rPr>
          <w:rFonts w:ascii="標楷體" w:eastAsia="標楷體" w:hAnsi="標楷體" w:cs="Microsoft YaHei"/>
          <w:sz w:val="28"/>
        </w:rPr>
        <w:t xml:space="preserve">年　</w:t>
      </w:r>
      <w:r>
        <w:rPr>
          <w:rFonts w:ascii="標楷體" w:eastAsia="標楷體" w:hAnsi="標楷體" w:cs="Microsoft YaHei" w:hint="eastAsia"/>
          <w:sz w:val="28"/>
          <w:lang w:eastAsia="zh-TW"/>
        </w:rPr>
        <w:t xml:space="preserve"> </w:t>
      </w:r>
      <w:r>
        <w:rPr>
          <w:rFonts w:ascii="標楷體" w:eastAsia="標楷體" w:hAnsi="標楷體" w:cs="Microsoft YaHei"/>
          <w:sz w:val="28"/>
        </w:rPr>
        <w:t>月</w:t>
      </w:r>
      <w:r w:rsidRPr="00AA1B75">
        <w:rPr>
          <w:rFonts w:ascii="標楷體" w:eastAsia="標楷體" w:hAnsi="標楷體" w:cs="Microsoft YaHei"/>
          <w:sz w:val="28"/>
        </w:rPr>
        <w:t xml:space="preserve"> </w:t>
      </w:r>
      <w:r>
        <w:rPr>
          <w:rFonts w:ascii="標楷體" w:eastAsia="標楷體" w:hAnsi="標楷體" w:cs="Microsoft YaHei"/>
          <w:sz w:val="28"/>
        </w:rPr>
        <w:t xml:space="preserve">　日　　</w:t>
      </w:r>
    </w:p>
    <w:p w:rsidR="002332AC" w:rsidRDefault="002332AC" w:rsidP="002332AC">
      <w:pPr>
        <w:spacing w:after="181" w:line="460" w:lineRule="exact"/>
        <w:ind w:leftChars="1700" w:left="3740" w:right="-2" w:firstLineChars="100" w:firstLine="280"/>
        <w:jc w:val="both"/>
        <w:rPr>
          <w:rFonts w:ascii="標楷體" w:eastAsia="標楷體" w:hAnsi="標楷體" w:cs="Microsoft YaHei" w:hint="eastAsia"/>
          <w:sz w:val="28"/>
          <w:lang w:eastAsia="zh-TW"/>
        </w:rPr>
      </w:pPr>
      <w:r>
        <w:rPr>
          <w:rFonts w:ascii="標楷體" w:eastAsia="標楷體" w:hAnsi="標楷體" w:cs="Microsoft YaHei"/>
          <w:sz w:val="28"/>
        </w:rPr>
        <w:t>字</w:t>
      </w:r>
      <w:r>
        <w:rPr>
          <w:rFonts w:ascii="標楷體" w:eastAsia="標楷體" w:hAnsi="標楷體" w:cs="Microsoft YaHei" w:hint="eastAsia"/>
          <w:sz w:val="28"/>
          <w:lang w:eastAsia="zh-HK"/>
        </w:rPr>
        <w:t>第</w:t>
      </w:r>
      <w:r w:rsidRPr="00AA1B75">
        <w:rPr>
          <w:rFonts w:ascii="標楷體" w:eastAsia="標楷體" w:hAnsi="標楷體" w:cs="Microsoft YaHei"/>
          <w:sz w:val="28"/>
        </w:rPr>
        <w:t xml:space="preserve">   </w:t>
      </w:r>
      <w:r>
        <w:rPr>
          <w:rFonts w:ascii="標楷體" w:eastAsia="標楷體" w:hAnsi="標楷體" w:cs="Microsoft YaHei"/>
          <w:sz w:val="28"/>
        </w:rPr>
        <w:t xml:space="preserve">　　　</w:t>
      </w:r>
      <w:r>
        <w:rPr>
          <w:rFonts w:ascii="標楷體" w:eastAsia="標楷體" w:hAnsi="標楷體" w:cs="Microsoft YaHei" w:hint="eastAsia"/>
          <w:sz w:val="28"/>
          <w:lang w:eastAsia="zh-TW"/>
        </w:rPr>
        <w:t xml:space="preserve">     </w:t>
      </w:r>
      <w:r w:rsidRPr="00AA1B75">
        <w:rPr>
          <w:rFonts w:ascii="標楷體" w:eastAsia="標楷體" w:hAnsi="標楷體" w:cs="Microsoft YaHei"/>
          <w:sz w:val="28"/>
        </w:rPr>
        <w:t>號</w:t>
      </w:r>
    </w:p>
    <w:p w:rsidR="002332AC" w:rsidRPr="00AA1B75" w:rsidRDefault="002332AC" w:rsidP="002332AC">
      <w:pPr>
        <w:spacing w:after="181" w:line="460" w:lineRule="exact"/>
        <w:ind w:right="1542"/>
        <w:jc w:val="both"/>
        <w:rPr>
          <w:rFonts w:ascii="標楷體" w:eastAsia="標楷體" w:hAnsi="標楷體"/>
        </w:rPr>
      </w:pPr>
      <w:r w:rsidRPr="00AA1B75">
        <w:rPr>
          <w:rFonts w:ascii="標楷體" w:eastAsia="標楷體" w:hAnsi="標楷體" w:cs="Microsoft YaHei"/>
          <w:sz w:val="28"/>
        </w:rPr>
        <w:t xml:space="preserve">收受復審決定日期：  </w:t>
      </w:r>
      <w:r>
        <w:rPr>
          <w:rFonts w:ascii="標楷體" w:eastAsia="標楷體" w:hAnsi="標楷體" w:cs="Microsoft YaHei" w:hint="eastAsia"/>
          <w:sz w:val="28"/>
          <w:lang w:eastAsia="zh-TW"/>
        </w:rPr>
        <w:t xml:space="preserve"> </w:t>
      </w:r>
      <w:r w:rsidRPr="00AA1B75">
        <w:rPr>
          <w:rFonts w:ascii="標楷體" w:eastAsia="標楷體" w:hAnsi="標楷體" w:cs="Microsoft YaHei"/>
          <w:sz w:val="28"/>
        </w:rPr>
        <w:t xml:space="preserve">年 </w:t>
      </w:r>
      <w:r>
        <w:rPr>
          <w:rFonts w:ascii="標楷體" w:eastAsia="標楷體" w:hAnsi="標楷體" w:cs="Microsoft YaHei" w:hint="eastAsia"/>
          <w:sz w:val="28"/>
          <w:lang w:eastAsia="zh-TW"/>
        </w:rPr>
        <w:t xml:space="preserve"> </w:t>
      </w:r>
      <w:r w:rsidRPr="00AA1B75">
        <w:rPr>
          <w:rFonts w:ascii="標楷體" w:eastAsia="標楷體" w:hAnsi="標楷體" w:cs="Microsoft YaHei"/>
          <w:sz w:val="28"/>
        </w:rPr>
        <w:t xml:space="preserve"> 月 </w:t>
      </w:r>
      <w:r>
        <w:rPr>
          <w:rFonts w:ascii="標楷體" w:eastAsia="標楷體" w:hAnsi="標楷體" w:cs="Microsoft YaHei" w:hint="eastAsia"/>
          <w:sz w:val="28"/>
          <w:lang w:eastAsia="zh-TW"/>
        </w:rPr>
        <w:t xml:space="preserve"> </w:t>
      </w:r>
      <w:r w:rsidRPr="00AA1B75">
        <w:rPr>
          <w:rFonts w:ascii="標楷體" w:eastAsia="標楷體" w:hAnsi="標楷體" w:cs="Microsoft YaHei"/>
          <w:sz w:val="28"/>
        </w:rPr>
        <w:t xml:space="preserve"> 日 </w:t>
      </w:r>
    </w:p>
    <w:p w:rsidR="002332AC" w:rsidRPr="00AA1B75" w:rsidRDefault="002332AC" w:rsidP="002332AC">
      <w:pPr>
        <w:spacing w:after="271" w:line="460" w:lineRule="exact"/>
        <w:ind w:left="-4" w:hanging="10"/>
        <w:rPr>
          <w:rFonts w:ascii="標楷體" w:eastAsia="標楷體" w:hAnsi="標楷體"/>
        </w:rPr>
      </w:pPr>
      <w:r w:rsidRPr="00AA1B75">
        <w:rPr>
          <w:rFonts w:ascii="標楷體" w:eastAsia="標楷體" w:hAnsi="標楷體" w:cs="Microsoft YaHei"/>
          <w:sz w:val="28"/>
        </w:rPr>
        <w:t xml:space="preserve">原告因退休金事件，提起行政訴訟，爰敘述訴之聲明暨事實及理由如下： </w:t>
      </w:r>
    </w:p>
    <w:p w:rsidR="002332AC" w:rsidRPr="006213A2" w:rsidRDefault="002332AC" w:rsidP="006213A2">
      <w:pPr>
        <w:pStyle w:val="a4"/>
        <w:numPr>
          <w:ilvl w:val="0"/>
          <w:numId w:val="4"/>
        </w:numPr>
        <w:spacing w:after="97" w:line="460" w:lineRule="exact"/>
        <w:ind w:leftChars="0"/>
        <w:rPr>
          <w:rFonts w:ascii="微軟正黑體" w:eastAsia="微軟正黑體" w:hAnsi="微軟正黑體" w:hint="eastAsia"/>
          <w:b/>
        </w:rPr>
      </w:pPr>
      <w:r w:rsidRPr="006213A2">
        <w:rPr>
          <w:rFonts w:ascii="微軟正黑體" w:eastAsia="微軟正黑體" w:hAnsi="微軟正黑體" w:cs="Microsoft YaHei" w:hint="eastAsia"/>
          <w:b/>
          <w:sz w:val="28"/>
        </w:rPr>
        <w:t xml:space="preserve">訴之聲明 </w:t>
      </w:r>
    </w:p>
    <w:p w:rsidR="002332AC" w:rsidRPr="00AA1B75" w:rsidRDefault="006213A2" w:rsidP="006213A2">
      <w:pPr>
        <w:spacing w:after="90"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cs="Microsoft YaHei" w:hint="eastAsia"/>
          <w:sz w:val="28"/>
          <w:lang w:eastAsia="zh-HK"/>
        </w:rPr>
        <w:t>一、</w:t>
      </w:r>
      <w:r w:rsidR="002332AC" w:rsidRPr="00AA1B75">
        <w:rPr>
          <w:rFonts w:ascii="標楷體" w:eastAsia="標楷體" w:hAnsi="標楷體" w:cs="Microsoft YaHei"/>
          <w:sz w:val="28"/>
        </w:rPr>
        <w:t xml:space="preserve">復審決定及原處分均撤銷。 </w:t>
      </w:r>
    </w:p>
    <w:p w:rsidR="002332AC" w:rsidRPr="00AA1B75" w:rsidRDefault="006213A2" w:rsidP="006213A2">
      <w:pPr>
        <w:spacing w:after="90" w:line="460" w:lineRule="exact"/>
        <w:rPr>
          <w:rFonts w:ascii="標楷體" w:eastAsia="標楷體" w:hAnsi="標楷體"/>
        </w:rPr>
      </w:pPr>
      <w:r>
        <w:rPr>
          <w:rFonts w:ascii="標楷體" w:eastAsia="標楷體" w:hAnsi="標楷體" w:cs="Microsoft YaHei" w:hint="eastAsia"/>
          <w:sz w:val="28"/>
          <w:lang w:eastAsia="zh-HK"/>
        </w:rPr>
        <w:t>二</w:t>
      </w:r>
      <w:r>
        <w:rPr>
          <w:rFonts w:ascii="標楷體" w:eastAsia="標楷體" w:hAnsi="標楷體" w:cs="Microsoft YaHei" w:hint="eastAsia"/>
          <w:sz w:val="28"/>
          <w:lang w:eastAsia="zh-HK"/>
        </w:rPr>
        <w:t>、</w:t>
      </w:r>
      <w:r w:rsidR="002332AC" w:rsidRPr="00AA1B75">
        <w:rPr>
          <w:rFonts w:ascii="標楷體" w:eastAsia="標楷體" w:hAnsi="標楷體" w:cs="Microsoft YaHei"/>
          <w:sz w:val="28"/>
        </w:rPr>
        <w:t xml:space="preserve">訴訟費用由被告負擔。 </w:t>
      </w:r>
    </w:p>
    <w:p w:rsidR="002332AC" w:rsidRPr="00AA1B75" w:rsidRDefault="002332AC" w:rsidP="002332AC">
      <w:pPr>
        <w:spacing w:after="89" w:line="460" w:lineRule="exact"/>
        <w:rPr>
          <w:rFonts w:ascii="標楷體" w:eastAsia="標楷體" w:hAnsi="標楷體"/>
        </w:rPr>
      </w:pPr>
      <w:r w:rsidRPr="00AA1B75">
        <w:rPr>
          <w:rFonts w:ascii="標楷體" w:eastAsia="標楷體" w:hAnsi="標楷體" w:cs="Microsoft YaHei"/>
          <w:sz w:val="28"/>
        </w:rPr>
        <w:t xml:space="preserve"> </w:t>
      </w:r>
    </w:p>
    <w:p w:rsidR="002332AC" w:rsidRPr="006213A2" w:rsidRDefault="002332AC" w:rsidP="002332AC">
      <w:pPr>
        <w:spacing w:after="97" w:line="460" w:lineRule="exact"/>
        <w:ind w:left="-5" w:hanging="10"/>
        <w:rPr>
          <w:rFonts w:ascii="微軟正黑體" w:eastAsia="微軟正黑體" w:hAnsi="微軟正黑體"/>
          <w:b/>
        </w:rPr>
      </w:pPr>
      <w:r w:rsidRPr="006213A2">
        <w:rPr>
          <w:rFonts w:ascii="微軟正黑體" w:eastAsia="微軟正黑體" w:hAnsi="微軟正黑體" w:cs="Microsoft YaHei"/>
          <w:b/>
          <w:sz w:val="28"/>
        </w:rPr>
        <w:t xml:space="preserve">貳、事實及理由 </w:t>
      </w:r>
    </w:p>
    <w:p w:rsidR="002332AC" w:rsidRPr="006213A2" w:rsidRDefault="006213A2" w:rsidP="006213A2">
      <w:pPr>
        <w:spacing w:after="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6213A2">
        <w:rPr>
          <w:rFonts w:ascii="標楷體" w:eastAsia="標楷體" w:hAnsi="標楷體" w:cs="Microsoft YaHei" w:hint="eastAsia"/>
          <w:sz w:val="28"/>
          <w:szCs w:val="28"/>
          <w:lang w:eastAsia="zh-HK"/>
        </w:rPr>
        <w:t>一、</w:t>
      </w:r>
      <w:r w:rsidR="002332AC" w:rsidRPr="006213A2">
        <w:rPr>
          <w:rFonts w:ascii="標楷體" w:eastAsia="標楷體" w:hAnsi="標楷體" w:cs="Microsoft YaHei"/>
          <w:sz w:val="28"/>
          <w:szCs w:val="28"/>
        </w:rPr>
        <w:t xml:space="preserve">原告於民國  </w:t>
      </w:r>
      <w:r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 </w:t>
      </w:r>
      <w:r w:rsidR="002332AC" w:rsidRPr="006213A2">
        <w:rPr>
          <w:rFonts w:ascii="標楷體" w:eastAsia="標楷體" w:hAnsi="標楷體" w:cs="Microsoft YaHei"/>
          <w:sz w:val="28"/>
          <w:szCs w:val="28"/>
        </w:rPr>
        <w:t xml:space="preserve">年  </w:t>
      </w:r>
      <w:r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</w:t>
      </w:r>
      <w:r w:rsidR="002332AC" w:rsidRPr="006213A2">
        <w:rPr>
          <w:rFonts w:ascii="標楷體" w:eastAsia="標楷體" w:hAnsi="標楷體" w:cs="Microsoft YaHei"/>
          <w:sz w:val="28"/>
          <w:szCs w:val="28"/>
        </w:rPr>
        <w:t xml:space="preserve">月  </w:t>
      </w:r>
      <w:r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</w:t>
      </w:r>
      <w:r w:rsidR="002332AC" w:rsidRPr="006213A2">
        <w:rPr>
          <w:rFonts w:ascii="標楷體" w:eastAsia="標楷體" w:hAnsi="標楷體" w:cs="Microsoft YaHei"/>
          <w:sz w:val="28"/>
          <w:szCs w:val="28"/>
        </w:rPr>
        <w:t>日，奉</w:t>
      </w:r>
      <w:proofErr w:type="gramStart"/>
      <w:r w:rsidR="002332AC" w:rsidRPr="006213A2">
        <w:rPr>
          <w:rFonts w:ascii="標楷體" w:eastAsia="標楷體" w:hAnsi="標楷體" w:cs="Microsoft YaHei"/>
          <w:sz w:val="28"/>
          <w:szCs w:val="28"/>
        </w:rPr>
        <w:t>銓敘部依當時</w:t>
      </w:r>
      <w:proofErr w:type="gramEnd"/>
      <w:r w:rsidR="002332AC" w:rsidRPr="006213A2">
        <w:rPr>
          <w:rFonts w:ascii="標楷體" w:eastAsia="標楷體" w:hAnsi="標楷體" w:cs="Microsoft YaHei"/>
          <w:sz w:val="28"/>
          <w:szCs w:val="28"/>
        </w:rPr>
        <w:t>有效之「公務人員退休法」核定退休生效，並依法給與退休所得，包括退休金及公保養老給付優惠存款等在案。原告與國家間退休給與關係之內容、種類、金額，於退休生效當時，均已告確定。依憲法第十八條規定，原告所享有之退休</w:t>
      </w:r>
      <w:r w:rsidR="002332AC" w:rsidRPr="006213A2">
        <w:rPr>
          <w:rFonts w:ascii="標楷體" w:eastAsia="標楷體" w:hAnsi="標楷體" w:cs="Microsoft YaHei"/>
          <w:sz w:val="28"/>
          <w:szCs w:val="28"/>
        </w:rPr>
        <w:lastRenderedPageBreak/>
        <w:t>金等權利，自應受到制度性保障（大法官釋字第四八三號、五七五號及六○五號解釋）。廼銓敘部竟無視於此，依據違憲新制定之「公務人員退休資遺撫卹條例」第三十六條、第三十七條及第九十五條第</w:t>
      </w:r>
      <w:r w:rsidR="002332AC" w:rsidRPr="006213A2">
        <w:rPr>
          <w:rFonts w:ascii="標楷體" w:eastAsia="標楷體" w:hAnsi="標楷體" w:cs="Microsoft YaHei" w:hint="eastAsia"/>
          <w:sz w:val="28"/>
          <w:szCs w:val="28"/>
          <w:lang w:eastAsia="zh-HK"/>
        </w:rPr>
        <w:t>二</w:t>
      </w:r>
      <w:r w:rsidR="002332AC" w:rsidRPr="006213A2">
        <w:rPr>
          <w:rFonts w:ascii="標楷體" w:eastAsia="標楷體" w:hAnsi="標楷體" w:cs="Microsoft YaHei"/>
          <w:sz w:val="28"/>
          <w:szCs w:val="28"/>
        </w:rPr>
        <w:t xml:space="preserve">項等規定，溯及既往，不再適用原告退休當時有效之公務人員退休法等有關規定，重新調整、計算原告退休所得，使原告退休權益嚴重受創。經提起復審（復審決定書   </w:t>
      </w:r>
      <w:r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  </w:t>
      </w:r>
      <w:r w:rsidR="002332AC" w:rsidRPr="006213A2">
        <w:rPr>
          <w:rFonts w:ascii="標楷體" w:eastAsia="標楷體" w:hAnsi="標楷體" w:cs="Microsoft YaHei"/>
          <w:sz w:val="28"/>
          <w:szCs w:val="28"/>
        </w:rPr>
        <w:t xml:space="preserve">字 </w:t>
      </w:r>
      <w:r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       </w:t>
      </w:r>
      <w:r w:rsidR="002332AC" w:rsidRPr="006213A2">
        <w:rPr>
          <w:rFonts w:ascii="標楷體" w:eastAsia="標楷體" w:hAnsi="標楷體" w:cs="Microsoft YaHei"/>
          <w:sz w:val="28"/>
          <w:szCs w:val="28"/>
        </w:rPr>
        <w:t xml:space="preserve"> 號），仍遭決定駁回。 </w:t>
      </w:r>
    </w:p>
    <w:p w:rsidR="002332AC" w:rsidRPr="006213A2" w:rsidRDefault="006213A2" w:rsidP="006213A2">
      <w:pPr>
        <w:spacing w:after="0"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Microsoft YaHei" w:hint="eastAsia"/>
          <w:sz w:val="28"/>
          <w:szCs w:val="28"/>
          <w:lang w:eastAsia="zh-HK"/>
        </w:rPr>
        <w:t>二、</w:t>
      </w:r>
      <w:r w:rsidR="002332AC" w:rsidRPr="006213A2">
        <w:rPr>
          <w:rFonts w:ascii="標楷體" w:eastAsia="標楷體" w:hAnsi="標楷體" w:cs="Microsoft YaHei"/>
          <w:sz w:val="28"/>
          <w:szCs w:val="28"/>
        </w:rPr>
        <w:t xml:space="preserve">憲法第一百七十一條第一項規定：「法律與憲法牴觸者無效」，第一百七十二條規定：「命令與憲法或法律牴觸者無效」，而法安定性原則及信賴保護原則，均係憲法上基本原則，任何新制定之法律或命令，均不得與之牴觸，否則即屬無效，毫無執行力可言。上述原則顯現於新、舊法律或命令之比較，最具體之原則，即為法律不溯及既往之原則，庶「依舊法已取得之權益」，不致為違憲之立法所剝奪，此與尚在職公務人員「可預期之權益」，而非「已取得之權益」，新法可酌情依信賴保護原則，予以變動者，顯相逕庭。 </w:t>
      </w:r>
    </w:p>
    <w:p w:rsidR="002332AC" w:rsidRPr="006213A2" w:rsidRDefault="002332AC" w:rsidP="006213A2">
      <w:pPr>
        <w:spacing w:after="0" w:line="460" w:lineRule="exact"/>
        <w:ind w:left="514" w:firstLine="53"/>
        <w:rPr>
          <w:rFonts w:ascii="標楷體" w:eastAsia="標楷體" w:hAnsi="標楷體" w:cs="Microsoft YaHei" w:hint="eastAsia"/>
          <w:sz w:val="28"/>
          <w:szCs w:val="28"/>
          <w:lang w:eastAsia="zh-TW"/>
        </w:rPr>
      </w:pPr>
      <w:r w:rsidRPr="006213A2">
        <w:rPr>
          <w:rFonts w:ascii="標楷體" w:eastAsia="標楷體" w:hAnsi="標楷體" w:cs="Microsoft YaHei"/>
          <w:sz w:val="28"/>
          <w:szCs w:val="28"/>
        </w:rPr>
        <w:t>大法官釋字第六二○號解釋稱：「新法規之法律關係如跨越新舊法施行時期，當特定法條之所有構成要件於新法生效施行後始完全實現時，則無待法律另為明文規定，本即應適用法條構成要件與生活事實合致時有效之新法，根據新法定其法律效果」，亦即舊法施行時，舊法特定法條之所有構成要件，業已完全實現者，即應適用法條構成要件與生活事實合致時有效之舊法，根據當時有效之舊法定其法律效果，不能根據事後制定之新法定其法律效果，此即法律不溯及既往原則精髓之所在。第六二○ 號解釋最關鍵之點，就是將「法條之所有構成要件」與「法律效果」保持一致，舊法有舊法之構成要件及舊法的法律效果，新法亦有新法的構成要件及新法的法律效果，二者不能相混。因之，第七一七號解釋進而引申其義，指出：「按新訂之法規，原則上不得適用於該法規生效前業已終結之法律關係，是謂禁止法律溯及既往原則。倘新法規所規範之法律關係如跨越新、舊法施行時期，當特定法條之所有構成要件於新法生效施行後始完全實現者，除法律別有明文規定外，應適用新法規。」等語。以是之故，如果將舊法的構成要件「套用」到新法的法律效果，強解為：依舊法之法律效果所領取之月退金及優惠存款係屬持續性的法</w:t>
      </w:r>
      <w:r w:rsidRPr="006213A2">
        <w:rPr>
          <w:rFonts w:ascii="標楷體" w:eastAsia="標楷體" w:hAnsi="標楷體" w:cs="Microsoft YaHei"/>
          <w:sz w:val="28"/>
          <w:szCs w:val="28"/>
        </w:rPr>
        <w:lastRenderedPageBreak/>
        <w:t>律關係，而依舊法法律效果所領取一次退休金，則不屬於持續性的法律關係，顯然將「法律效果」曲解成為「構成要件」之一部分，戕害已退休公務人員的權益，莫此為甚。今後已退休公務人員退休金等，豈不都將徒託空言，無從受到「制度性的保障」了。</w:t>
      </w:r>
    </w:p>
    <w:p w:rsidR="002332AC" w:rsidRPr="006213A2" w:rsidRDefault="002332AC" w:rsidP="006213A2">
      <w:pPr>
        <w:spacing w:after="0" w:line="460" w:lineRule="exact"/>
        <w:ind w:left="560" w:hangingChars="200" w:hanging="560"/>
        <w:rPr>
          <w:rFonts w:ascii="標楷體" w:eastAsia="標楷體" w:hAnsi="標楷體" w:cs="Microsoft YaHei"/>
          <w:sz w:val="28"/>
          <w:szCs w:val="28"/>
          <w:lang w:eastAsia="zh-TW"/>
        </w:rPr>
      </w:pPr>
      <w:r w:rsidRPr="006213A2">
        <w:rPr>
          <w:rFonts w:ascii="標楷體" w:eastAsia="標楷體" w:hAnsi="標楷體" w:cs="Microsoft YaHei"/>
          <w:sz w:val="28"/>
          <w:szCs w:val="28"/>
        </w:rPr>
        <w:t xml:space="preserve">三、民國一○七年七月一日以前已退休的公務人員，已完全實現舊法「公務人員退休法」所規定退休的構成要件，自應依舊條例之規定，定其法律效果，領取當時所規定之退休金及優惠存款。廼銓敘部竟根據違憲新制定之「公務人員退休資遣撫卹法」重新核定原告之退休金及優惠存款，使原告受到莫大的損害，自難甘折服。雖經提出復審，但以保障公務人員職志之公務人員保障暨培訓委員會所作復審決定，未予糾正，爰聲明求為撤銷復審決定及原處分，並判決如聲明所示，以符憲法「制定性保障」退休公務人員之本旨。 </w:t>
      </w:r>
    </w:p>
    <w:p w:rsidR="002332AC" w:rsidRPr="006213A2" w:rsidRDefault="002332AC" w:rsidP="006213A2">
      <w:pPr>
        <w:spacing w:after="0" w:line="460" w:lineRule="exact"/>
        <w:ind w:left="567" w:hanging="496"/>
        <w:rPr>
          <w:rFonts w:ascii="標楷體" w:eastAsia="標楷體" w:hAnsi="標楷體"/>
          <w:sz w:val="28"/>
          <w:szCs w:val="28"/>
        </w:rPr>
      </w:pPr>
      <w:r w:rsidRPr="006213A2">
        <w:rPr>
          <w:rFonts w:ascii="標楷體" w:eastAsia="標楷體" w:hAnsi="標楷體" w:cs="Microsoft YaHei"/>
          <w:sz w:val="28"/>
          <w:szCs w:val="28"/>
        </w:rPr>
        <w:t xml:space="preserve">四、如 鈞院認為事關「法律違憲審查」的問題，於此特檢附「解釋憲法聲請書」參考稿乙份，亦請 鈞院裁定停止訴訟程序，聲請司法院大法官解釋新制定之「公務人員退休資遣撫卹法」有關規定溯及既往，一併適用於舊法施行時期已退休人員，係屬違憲，不勝感禱！ </w:t>
      </w:r>
    </w:p>
    <w:p w:rsidR="002332AC" w:rsidRPr="006213A2" w:rsidRDefault="002332AC" w:rsidP="002332AC">
      <w:pPr>
        <w:spacing w:after="91" w:line="460" w:lineRule="exact"/>
        <w:rPr>
          <w:rFonts w:ascii="標楷體" w:eastAsia="標楷體" w:hAnsi="標楷體"/>
          <w:sz w:val="28"/>
          <w:szCs w:val="28"/>
        </w:rPr>
      </w:pPr>
      <w:r w:rsidRPr="006213A2">
        <w:rPr>
          <w:rFonts w:ascii="標楷體" w:eastAsia="標楷體" w:hAnsi="標楷體" w:cs="Microsoft YaHei"/>
          <w:sz w:val="28"/>
          <w:szCs w:val="28"/>
        </w:rPr>
        <w:t xml:space="preserve"> </w:t>
      </w:r>
    </w:p>
    <w:p w:rsidR="002332AC" w:rsidRPr="006213A2" w:rsidRDefault="002332AC" w:rsidP="002332AC">
      <w:pPr>
        <w:spacing w:after="90" w:line="460" w:lineRule="exact"/>
        <w:ind w:left="-4" w:hanging="10"/>
        <w:rPr>
          <w:rFonts w:ascii="標楷體" w:eastAsia="標楷體" w:hAnsi="標楷體"/>
          <w:sz w:val="28"/>
          <w:szCs w:val="28"/>
        </w:rPr>
      </w:pPr>
      <w:r w:rsidRPr="006213A2">
        <w:rPr>
          <w:rFonts w:ascii="標楷體" w:eastAsia="標楷體" w:hAnsi="標楷體" w:cs="Microsoft YaHei"/>
          <w:sz w:val="28"/>
          <w:szCs w:val="28"/>
        </w:rPr>
        <w:t xml:space="preserve">    </w:t>
      </w:r>
      <w:r w:rsidR="001547A3"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    </w:t>
      </w:r>
      <w:r w:rsidRPr="006213A2">
        <w:rPr>
          <w:rFonts w:ascii="標楷體" w:eastAsia="標楷體" w:hAnsi="標楷體" w:cs="Microsoft YaHei"/>
          <w:sz w:val="28"/>
          <w:szCs w:val="28"/>
        </w:rPr>
        <w:t xml:space="preserve">此致 </w:t>
      </w:r>
    </w:p>
    <w:p w:rsidR="002332AC" w:rsidRPr="006213A2" w:rsidRDefault="002332AC" w:rsidP="002332AC">
      <w:pPr>
        <w:spacing w:after="91" w:line="460" w:lineRule="exact"/>
        <w:rPr>
          <w:rFonts w:ascii="標楷體" w:eastAsia="標楷體" w:hAnsi="標楷體"/>
          <w:sz w:val="28"/>
          <w:szCs w:val="28"/>
        </w:rPr>
      </w:pPr>
      <w:r w:rsidRPr="006213A2">
        <w:rPr>
          <w:rFonts w:ascii="標楷體" w:eastAsia="標楷體" w:hAnsi="標楷體" w:cs="Microsoft YaHei"/>
          <w:sz w:val="28"/>
          <w:szCs w:val="28"/>
        </w:rPr>
        <w:t xml:space="preserve"> </w:t>
      </w:r>
      <w:r w:rsidR="001547A3"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  </w:t>
      </w:r>
      <w:r w:rsidRPr="006213A2">
        <w:rPr>
          <w:rFonts w:ascii="標楷體" w:eastAsia="標楷體" w:hAnsi="標楷體" w:cs="Microsoft YaHei"/>
          <w:sz w:val="28"/>
          <w:szCs w:val="28"/>
        </w:rPr>
        <w:t xml:space="preserve">高等行政法院 公鑒 </w:t>
      </w:r>
    </w:p>
    <w:p w:rsidR="002332AC" w:rsidRPr="006213A2" w:rsidRDefault="002332AC" w:rsidP="002332AC">
      <w:pPr>
        <w:spacing w:after="1" w:line="460" w:lineRule="exact"/>
        <w:ind w:right="9239"/>
        <w:rPr>
          <w:rFonts w:ascii="標楷體" w:eastAsia="標楷體" w:hAnsi="標楷體"/>
          <w:sz w:val="28"/>
          <w:szCs w:val="28"/>
        </w:rPr>
      </w:pPr>
      <w:r w:rsidRPr="006213A2">
        <w:rPr>
          <w:rFonts w:ascii="標楷體" w:eastAsia="標楷體" w:hAnsi="標楷體" w:cs="Microsoft YaHei"/>
          <w:sz w:val="28"/>
          <w:szCs w:val="28"/>
        </w:rPr>
        <w:t xml:space="preserve">  </w:t>
      </w:r>
    </w:p>
    <w:p w:rsidR="002332AC" w:rsidRPr="006213A2" w:rsidRDefault="002332AC" w:rsidP="001547A3">
      <w:pPr>
        <w:spacing w:after="90" w:line="460" w:lineRule="exact"/>
        <w:ind w:left="-4" w:firstLineChars="100" w:firstLine="280"/>
        <w:rPr>
          <w:rFonts w:ascii="標楷體" w:eastAsia="標楷體" w:hAnsi="標楷體"/>
          <w:sz w:val="28"/>
          <w:szCs w:val="28"/>
        </w:rPr>
      </w:pPr>
      <w:r w:rsidRPr="006213A2">
        <w:rPr>
          <w:rFonts w:ascii="標楷體" w:eastAsia="標楷體" w:hAnsi="標楷體" w:cs="Microsoft YaHei"/>
          <w:sz w:val="28"/>
          <w:szCs w:val="28"/>
        </w:rPr>
        <w:t xml:space="preserve">中華民國  </w:t>
      </w:r>
      <w:r w:rsidR="001547A3"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 </w:t>
      </w:r>
      <w:r w:rsidRPr="006213A2">
        <w:rPr>
          <w:rFonts w:ascii="標楷體" w:eastAsia="標楷體" w:hAnsi="標楷體" w:cs="Microsoft YaHei"/>
          <w:sz w:val="28"/>
          <w:szCs w:val="28"/>
        </w:rPr>
        <w:t xml:space="preserve"> </w:t>
      </w:r>
      <w:r w:rsidR="001547A3"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</w:t>
      </w:r>
      <w:bookmarkStart w:id="0" w:name="_GoBack"/>
      <w:bookmarkEnd w:id="0"/>
      <w:r w:rsidRPr="006213A2">
        <w:rPr>
          <w:rFonts w:ascii="標楷體" w:eastAsia="標楷體" w:hAnsi="標楷體" w:cs="Microsoft YaHei"/>
          <w:sz w:val="28"/>
          <w:szCs w:val="28"/>
        </w:rPr>
        <w:t xml:space="preserve">年  </w:t>
      </w:r>
      <w:r w:rsidR="001547A3"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</w:t>
      </w:r>
      <w:r w:rsidRPr="006213A2">
        <w:rPr>
          <w:rFonts w:ascii="標楷體" w:eastAsia="標楷體" w:hAnsi="標楷體" w:cs="Microsoft YaHei"/>
          <w:sz w:val="28"/>
          <w:szCs w:val="28"/>
        </w:rPr>
        <w:t xml:space="preserve"> 月  </w:t>
      </w:r>
      <w:r w:rsidR="001547A3"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</w:t>
      </w:r>
      <w:r w:rsidRPr="006213A2">
        <w:rPr>
          <w:rFonts w:ascii="標楷體" w:eastAsia="標楷體" w:hAnsi="標楷體" w:cs="Microsoft YaHei"/>
          <w:sz w:val="28"/>
          <w:szCs w:val="28"/>
        </w:rPr>
        <w:t xml:space="preserve"> 日 </w:t>
      </w:r>
    </w:p>
    <w:p w:rsidR="002332AC" w:rsidRPr="006213A2" w:rsidRDefault="002332AC" w:rsidP="002332AC">
      <w:pPr>
        <w:spacing w:after="89" w:line="46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6213A2">
        <w:rPr>
          <w:rFonts w:ascii="標楷體" w:eastAsia="標楷體" w:hAnsi="標楷體" w:cs="Microsoft YaHei"/>
          <w:sz w:val="28"/>
          <w:szCs w:val="28"/>
        </w:rPr>
        <w:t xml:space="preserve"> </w:t>
      </w:r>
    </w:p>
    <w:p w:rsidR="002332AC" w:rsidRPr="006213A2" w:rsidRDefault="002332AC" w:rsidP="002332AC">
      <w:pPr>
        <w:spacing w:after="91" w:line="460" w:lineRule="exact"/>
        <w:ind w:right="632"/>
        <w:jc w:val="right"/>
        <w:rPr>
          <w:rFonts w:ascii="標楷體" w:eastAsia="標楷體" w:hAnsi="標楷體" w:cs="Microsoft YaHei" w:hint="eastAsia"/>
          <w:sz w:val="28"/>
          <w:szCs w:val="28"/>
          <w:lang w:eastAsia="zh-TW"/>
        </w:rPr>
      </w:pPr>
      <w:r w:rsidRPr="006213A2">
        <w:rPr>
          <w:rFonts w:ascii="標楷體" w:eastAsia="標楷體" w:hAnsi="標楷體" w:cs="Microsoft YaHei"/>
          <w:sz w:val="28"/>
          <w:szCs w:val="28"/>
        </w:rPr>
        <w:t xml:space="preserve">具狀人：     </w:t>
      </w:r>
      <w:r w:rsidRPr="006213A2"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  </w:t>
      </w:r>
      <w:r w:rsidRPr="006213A2">
        <w:rPr>
          <w:rFonts w:ascii="標楷體" w:eastAsia="標楷體" w:hAnsi="標楷體" w:cs="Microsoft YaHei"/>
          <w:sz w:val="28"/>
          <w:szCs w:val="28"/>
        </w:rPr>
        <w:t xml:space="preserve">    </w:t>
      </w:r>
      <w:r w:rsidRPr="006213A2">
        <w:rPr>
          <w:rFonts w:ascii="標楷體" w:eastAsia="標楷體" w:hAnsi="標楷體" w:cs="Microsoft YaHei" w:hint="eastAsia"/>
          <w:sz w:val="28"/>
          <w:szCs w:val="28"/>
          <w:lang w:eastAsia="zh-TW"/>
        </w:rPr>
        <w:t xml:space="preserve">    </w:t>
      </w:r>
      <w:r w:rsidRPr="006213A2">
        <w:rPr>
          <w:rFonts w:ascii="標楷體" w:eastAsia="標楷體" w:hAnsi="標楷體" w:cs="Microsoft YaHei"/>
          <w:sz w:val="28"/>
          <w:szCs w:val="28"/>
        </w:rPr>
        <w:t xml:space="preserve">（簽名蓋章） </w:t>
      </w:r>
    </w:p>
    <w:p w:rsidR="002332AC" w:rsidRPr="006213A2" w:rsidRDefault="002332AC" w:rsidP="006213A2">
      <w:pPr>
        <w:spacing w:after="91" w:line="460" w:lineRule="exact"/>
        <w:ind w:right="9872"/>
        <w:jc w:val="right"/>
        <w:rPr>
          <w:rFonts w:ascii="標楷體" w:eastAsia="標楷體" w:hAnsi="標楷體" w:hint="eastAsia"/>
          <w:sz w:val="28"/>
          <w:szCs w:val="28"/>
          <w:lang w:eastAsia="zh-TW"/>
        </w:rPr>
      </w:pPr>
    </w:p>
    <w:p w:rsidR="002332AC" w:rsidRPr="006213A2" w:rsidRDefault="002332AC" w:rsidP="002332AC">
      <w:pPr>
        <w:spacing w:after="0" w:line="460" w:lineRule="exact"/>
        <w:ind w:left="551" w:right="3361" w:hanging="565"/>
        <w:rPr>
          <w:rFonts w:ascii="標楷體" w:eastAsia="標楷體" w:hAnsi="標楷體" w:cs="Microsoft YaHei" w:hint="eastAsia"/>
          <w:sz w:val="28"/>
          <w:szCs w:val="28"/>
          <w:lang w:eastAsia="zh-TW"/>
        </w:rPr>
      </w:pPr>
      <w:r w:rsidRPr="006213A2">
        <w:rPr>
          <w:rFonts w:ascii="標楷體" w:eastAsia="標楷體" w:hAnsi="標楷體" w:cs="Microsoft YaHei"/>
          <w:sz w:val="28"/>
          <w:szCs w:val="28"/>
        </w:rPr>
        <w:t>附：證物名稱及件數：</w:t>
      </w:r>
    </w:p>
    <w:p w:rsidR="002332AC" w:rsidRPr="006213A2" w:rsidRDefault="002332AC" w:rsidP="002332AC">
      <w:pPr>
        <w:numPr>
          <w:ilvl w:val="0"/>
          <w:numId w:val="3"/>
        </w:numPr>
        <w:spacing w:after="0" w:line="460" w:lineRule="exact"/>
        <w:ind w:right="3361"/>
        <w:rPr>
          <w:rFonts w:ascii="標楷體" w:eastAsia="標楷體" w:hAnsi="標楷體"/>
          <w:sz w:val="28"/>
          <w:szCs w:val="28"/>
        </w:rPr>
      </w:pPr>
      <w:r w:rsidRPr="006213A2">
        <w:rPr>
          <w:rFonts w:ascii="標楷體" w:eastAsia="標楷體" w:hAnsi="標楷體" w:cs="Microsoft YaHei"/>
          <w:sz w:val="28"/>
          <w:szCs w:val="28"/>
        </w:rPr>
        <w:t xml:space="preserve">原處分書影本乙件。 </w:t>
      </w:r>
    </w:p>
    <w:p w:rsidR="002332AC" w:rsidRPr="006213A2" w:rsidRDefault="002332AC" w:rsidP="002332AC">
      <w:pPr>
        <w:spacing w:after="90" w:line="460" w:lineRule="exact"/>
        <w:rPr>
          <w:rFonts w:ascii="標楷體" w:eastAsia="標楷體" w:hAnsi="標楷體"/>
          <w:sz w:val="28"/>
          <w:szCs w:val="28"/>
        </w:rPr>
      </w:pPr>
      <w:r w:rsidRPr="006213A2">
        <w:rPr>
          <w:rFonts w:ascii="標楷體" w:eastAsia="標楷體" w:hAnsi="標楷體" w:cs="Microsoft YaHei" w:hint="eastAsia"/>
          <w:sz w:val="28"/>
          <w:szCs w:val="28"/>
          <w:lang w:eastAsia="zh-HK"/>
        </w:rPr>
        <w:t>二、</w:t>
      </w:r>
      <w:r w:rsidRPr="006213A2">
        <w:rPr>
          <w:rFonts w:ascii="標楷體" w:eastAsia="標楷體" w:hAnsi="標楷體" w:cs="Microsoft YaHei"/>
          <w:sz w:val="28"/>
          <w:szCs w:val="28"/>
        </w:rPr>
        <w:t>復審決定</w:t>
      </w:r>
      <w:proofErr w:type="gramStart"/>
      <w:r w:rsidRPr="006213A2">
        <w:rPr>
          <w:rFonts w:ascii="標楷體" w:eastAsia="標楷體" w:hAnsi="標楷體" w:cs="Microsoft YaHei"/>
          <w:sz w:val="28"/>
          <w:szCs w:val="28"/>
        </w:rPr>
        <w:t>書影本乙件</w:t>
      </w:r>
      <w:proofErr w:type="gramEnd"/>
      <w:r w:rsidRPr="006213A2">
        <w:rPr>
          <w:rFonts w:ascii="標楷體" w:eastAsia="標楷體" w:hAnsi="標楷體" w:cs="Microsoft YaHei"/>
          <w:sz w:val="28"/>
          <w:szCs w:val="28"/>
        </w:rPr>
        <w:t xml:space="preserve">。 </w:t>
      </w:r>
    </w:p>
    <w:p w:rsidR="00657678" w:rsidRPr="006213A2" w:rsidRDefault="002332AC" w:rsidP="006213A2">
      <w:pPr>
        <w:spacing w:after="90" w:line="460" w:lineRule="exact"/>
        <w:rPr>
          <w:rFonts w:ascii="標楷體" w:eastAsia="標楷體" w:hAnsi="標楷體" w:hint="eastAsia"/>
          <w:sz w:val="28"/>
          <w:szCs w:val="28"/>
          <w:lang w:eastAsia="zh-TW"/>
        </w:rPr>
      </w:pPr>
      <w:r w:rsidRPr="006213A2">
        <w:rPr>
          <w:rFonts w:ascii="標楷體" w:eastAsia="標楷體" w:hAnsi="標楷體" w:cs="Microsoft YaHei" w:hint="eastAsia"/>
          <w:sz w:val="28"/>
          <w:szCs w:val="28"/>
          <w:lang w:eastAsia="zh-HK"/>
        </w:rPr>
        <w:t>三、</w:t>
      </w:r>
      <w:r w:rsidRPr="006213A2">
        <w:rPr>
          <w:rFonts w:ascii="標楷體" w:eastAsia="標楷體" w:hAnsi="標楷體" w:cs="Microsoft YaHei"/>
          <w:sz w:val="28"/>
          <w:szCs w:val="28"/>
        </w:rPr>
        <w:t>解釋憲法暨暫時處分聲請書</w:t>
      </w:r>
      <w:proofErr w:type="gramStart"/>
      <w:r w:rsidRPr="006213A2">
        <w:rPr>
          <w:rFonts w:ascii="標楷體" w:eastAsia="標楷體" w:hAnsi="標楷體" w:cs="Microsoft YaHei"/>
          <w:sz w:val="28"/>
          <w:szCs w:val="28"/>
        </w:rPr>
        <w:t>參考稿乙件</w:t>
      </w:r>
      <w:proofErr w:type="gramEnd"/>
      <w:r w:rsidRPr="006213A2">
        <w:rPr>
          <w:rFonts w:ascii="標楷體" w:eastAsia="標楷體" w:hAnsi="標楷體" w:cs="Microsoft YaHei"/>
          <w:sz w:val="28"/>
          <w:szCs w:val="28"/>
        </w:rPr>
        <w:t xml:space="preserve">。 </w:t>
      </w:r>
    </w:p>
    <w:sectPr w:rsidR="00657678" w:rsidRPr="006213A2" w:rsidSect="006213A2">
      <w:pgSz w:w="11906" w:h="16838"/>
      <w:pgMar w:top="1418" w:right="136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C21CA"/>
    <w:multiLevelType w:val="hybridMultilevel"/>
    <w:tmpl w:val="E3CCB11C"/>
    <w:lvl w:ilvl="0" w:tplc="36A00170">
      <w:start w:val="1"/>
      <w:numFmt w:val="ideographDigital"/>
      <w:lvlText w:val="%1、"/>
      <w:lvlJc w:val="left"/>
      <w:pPr>
        <w:ind w:left="496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50251E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2C9294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C48B9A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8E5DDC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4A86E8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6A46B0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C6D6B6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D622AC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9B741AB"/>
    <w:multiLevelType w:val="hybridMultilevel"/>
    <w:tmpl w:val="2E7004B2"/>
    <w:lvl w:ilvl="0" w:tplc="F49A6E7C">
      <w:start w:val="1"/>
      <w:numFmt w:val="taiwaneseCountingThousand"/>
      <w:lvlText w:val="%1、"/>
      <w:lvlJc w:val="left"/>
      <w:pPr>
        <w:ind w:left="586" w:hanging="600"/>
      </w:pPr>
      <w:rPr>
        <w:rFonts w:cs="Microsoft YaHe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46" w:hanging="480"/>
      </w:pPr>
    </w:lvl>
    <w:lvl w:ilvl="2" w:tplc="0409001B" w:tentative="1">
      <w:start w:val="1"/>
      <w:numFmt w:val="lowerRoman"/>
      <w:lvlText w:val="%3."/>
      <w:lvlJc w:val="right"/>
      <w:pPr>
        <w:ind w:left="1426" w:hanging="480"/>
      </w:pPr>
    </w:lvl>
    <w:lvl w:ilvl="3" w:tplc="0409000F" w:tentative="1">
      <w:start w:val="1"/>
      <w:numFmt w:val="decimal"/>
      <w:lvlText w:val="%4."/>
      <w:lvlJc w:val="left"/>
      <w:pPr>
        <w:ind w:left="1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6" w:hanging="480"/>
      </w:pPr>
    </w:lvl>
    <w:lvl w:ilvl="5" w:tplc="0409001B" w:tentative="1">
      <w:start w:val="1"/>
      <w:numFmt w:val="lowerRoman"/>
      <w:lvlText w:val="%6."/>
      <w:lvlJc w:val="right"/>
      <w:pPr>
        <w:ind w:left="2866" w:hanging="480"/>
      </w:pPr>
    </w:lvl>
    <w:lvl w:ilvl="6" w:tplc="0409000F" w:tentative="1">
      <w:start w:val="1"/>
      <w:numFmt w:val="decimal"/>
      <w:lvlText w:val="%7."/>
      <w:lvlJc w:val="left"/>
      <w:pPr>
        <w:ind w:left="3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6" w:hanging="480"/>
      </w:pPr>
    </w:lvl>
    <w:lvl w:ilvl="8" w:tplc="0409001B" w:tentative="1">
      <w:start w:val="1"/>
      <w:numFmt w:val="lowerRoman"/>
      <w:lvlText w:val="%9."/>
      <w:lvlJc w:val="right"/>
      <w:pPr>
        <w:ind w:left="4306" w:hanging="480"/>
      </w:pPr>
    </w:lvl>
  </w:abstractNum>
  <w:abstractNum w:abstractNumId="2">
    <w:nsid w:val="6B574082"/>
    <w:multiLevelType w:val="hybridMultilevel"/>
    <w:tmpl w:val="225EB618"/>
    <w:lvl w:ilvl="0" w:tplc="B84A8B14">
      <w:start w:val="1"/>
      <w:numFmt w:val="ideographLegalTraditional"/>
      <w:lvlText w:val="%1、"/>
      <w:lvlJc w:val="left"/>
      <w:pPr>
        <w:ind w:left="555" w:hanging="570"/>
      </w:pPr>
      <w:rPr>
        <w:rFonts w:cs="Microsoft YaHe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abstractNum w:abstractNumId="3">
    <w:nsid w:val="7D94688E"/>
    <w:multiLevelType w:val="hybridMultilevel"/>
    <w:tmpl w:val="DE2490B2"/>
    <w:lvl w:ilvl="0" w:tplc="8814F4BC">
      <w:start w:val="1"/>
      <w:numFmt w:val="ideographDigital"/>
      <w:lvlText w:val="%1、"/>
      <w:lvlJc w:val="left"/>
      <w:pPr>
        <w:ind w:left="5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CCAD0">
      <w:start w:val="1"/>
      <w:numFmt w:val="lowerLetter"/>
      <w:lvlText w:val="%2"/>
      <w:lvlJc w:val="left"/>
      <w:pPr>
        <w:ind w:left="10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20B81E">
      <w:start w:val="1"/>
      <w:numFmt w:val="lowerRoman"/>
      <w:lvlText w:val="%3"/>
      <w:lvlJc w:val="left"/>
      <w:pPr>
        <w:ind w:left="18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F52148E">
      <w:start w:val="1"/>
      <w:numFmt w:val="decimal"/>
      <w:lvlText w:val="%4"/>
      <w:lvlJc w:val="left"/>
      <w:pPr>
        <w:ind w:left="25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C0B000">
      <w:start w:val="1"/>
      <w:numFmt w:val="lowerLetter"/>
      <w:lvlText w:val="%5"/>
      <w:lvlJc w:val="left"/>
      <w:pPr>
        <w:ind w:left="324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A6E1E8">
      <w:start w:val="1"/>
      <w:numFmt w:val="lowerRoman"/>
      <w:lvlText w:val="%6"/>
      <w:lvlJc w:val="left"/>
      <w:pPr>
        <w:ind w:left="396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282BE">
      <w:start w:val="1"/>
      <w:numFmt w:val="decimal"/>
      <w:lvlText w:val="%7"/>
      <w:lvlJc w:val="left"/>
      <w:pPr>
        <w:ind w:left="468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FAFFAE">
      <w:start w:val="1"/>
      <w:numFmt w:val="lowerLetter"/>
      <w:lvlText w:val="%8"/>
      <w:lvlJc w:val="left"/>
      <w:pPr>
        <w:ind w:left="540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CFDC0">
      <w:start w:val="1"/>
      <w:numFmt w:val="lowerRoman"/>
      <w:lvlText w:val="%9"/>
      <w:lvlJc w:val="left"/>
      <w:pPr>
        <w:ind w:left="6120"/>
      </w:pPr>
      <w:rPr>
        <w:rFonts w:ascii="Microsoft YaHei" w:eastAsia="Microsoft YaHei" w:hAnsi="Microsoft YaHei" w:cs="Microsoft YaHe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AC"/>
    <w:rsid w:val="001547A3"/>
    <w:rsid w:val="002332AC"/>
    <w:rsid w:val="006213A2"/>
    <w:rsid w:val="006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A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2AC"/>
    <w:rPr>
      <w:rFonts w:ascii="Calibri" w:eastAsia="Calibri" w:hAnsi="Calibri" w:cs="Calibri"/>
      <w:color w:val="000000"/>
      <w:kern w:val="0"/>
      <w:sz w:val="22"/>
      <w:lang w:eastAsia="zh-CN"/>
    </w:rPr>
  </w:style>
  <w:style w:type="paragraph" w:styleId="a4">
    <w:name w:val="List Paragraph"/>
    <w:basedOn w:val="a"/>
    <w:uiPriority w:val="34"/>
    <w:qFormat/>
    <w:rsid w:val="006213A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2AC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2AC"/>
    <w:rPr>
      <w:rFonts w:ascii="Calibri" w:eastAsia="Calibri" w:hAnsi="Calibri" w:cs="Calibri"/>
      <w:color w:val="000000"/>
      <w:kern w:val="0"/>
      <w:sz w:val="22"/>
      <w:lang w:eastAsia="zh-CN"/>
    </w:rPr>
  </w:style>
  <w:style w:type="paragraph" w:styleId="a4">
    <w:name w:val="List Paragraph"/>
    <w:basedOn w:val="a"/>
    <w:uiPriority w:val="34"/>
    <w:qFormat/>
    <w:rsid w:val="006213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2018-07-24T05:07:00Z</dcterms:created>
  <dcterms:modified xsi:type="dcterms:W3CDTF">2018-07-24T05:26:00Z</dcterms:modified>
</cp:coreProperties>
</file>