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0" w:rsidRPr="00E9171D" w:rsidRDefault="00164390" w:rsidP="00E9171D">
      <w:pPr>
        <w:overflowPunct w:val="0"/>
        <w:autoSpaceDE w:val="0"/>
        <w:autoSpaceDN w:val="0"/>
        <w:adjustRightInd w:val="0"/>
        <w:spacing w:line="280" w:lineRule="exact"/>
        <w:rPr>
          <w:rFonts w:ascii="標楷體" w:eastAsia="標楷體" w:hAnsi="標楷體" w:hint="eastAsia"/>
          <w:b/>
          <w:bCs/>
          <w:sz w:val="18"/>
          <w:szCs w:val="18"/>
        </w:rPr>
      </w:pPr>
      <w:bookmarkStart w:id="0" w:name="_GoBack"/>
      <w:bookmarkEnd w:id="0"/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146"/>
        <w:gridCol w:w="653"/>
        <w:gridCol w:w="263"/>
        <w:gridCol w:w="838"/>
        <w:gridCol w:w="366"/>
        <w:gridCol w:w="693"/>
        <w:gridCol w:w="712"/>
        <w:gridCol w:w="188"/>
        <w:gridCol w:w="592"/>
        <w:gridCol w:w="8"/>
        <w:gridCol w:w="1200"/>
        <w:gridCol w:w="2197"/>
      </w:tblGrid>
      <w:tr w:rsidR="00164390" w:rsidTr="00E9171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9245" w:type="dxa"/>
            <w:gridSpan w:val="13"/>
            <w:vAlign w:val="center"/>
          </w:tcPr>
          <w:p w:rsidR="00164390" w:rsidRPr="00B40609" w:rsidRDefault="00164390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48"/>
                <w:szCs w:val="48"/>
              </w:rPr>
            </w:pPr>
            <w:r w:rsidRPr="00B40609">
              <w:rPr>
                <w:rFonts w:ascii="標楷體" w:eastAsia="標楷體" w:hint="eastAsia"/>
                <w:sz w:val="48"/>
                <w:szCs w:val="48"/>
              </w:rPr>
              <w:t>復     審     書</w:t>
            </w: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 w:val="restart"/>
            <w:tcBorders>
              <w:top w:val="single" w:sz="36" w:space="0" w:color="FF0000"/>
              <w:left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復審人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389" w:type="dxa"/>
            <w:gridSpan w:val="6"/>
            <w:tcBorders>
              <w:top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36" w:space="0" w:color="FF0000"/>
              <w:right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服務機關</w:t>
            </w: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/>
            <w:tcBorders>
              <w:lef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89" w:type="dxa"/>
            <w:gridSpan w:val="6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年月日</w:t>
            </w:r>
          </w:p>
        </w:tc>
        <w:tc>
          <w:tcPr>
            <w:tcW w:w="3405" w:type="dxa"/>
            <w:gridSpan w:val="3"/>
            <w:vMerge/>
            <w:tcBorders>
              <w:righ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389" w:type="dxa"/>
            <w:vMerge/>
            <w:tcBorders>
              <w:lef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 w:val="restart"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tcBorders>
              <w:bottom w:val="single" w:sz="4" w:space="0" w:color="auto"/>
            </w:tcBorders>
          </w:tcPr>
          <w:p w:rsidR="00B05842" w:rsidRDefault="00B05842" w:rsidP="00B05842">
            <w:pPr>
              <w:snapToGrid w:val="0"/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國民</w:t>
            </w:r>
            <w:r>
              <w:rPr>
                <w:rFonts w:ascii="標楷體" w:eastAsia="標楷體" w:hint="eastAsia"/>
                <w:sz w:val="28"/>
              </w:rPr>
              <w:t>身分證統一編號</w:t>
            </w:r>
          </w:p>
          <w:p w:rsidR="00B05842" w:rsidRPr="00B05842" w:rsidRDefault="00B05842" w:rsidP="00B05842">
            <w:pPr>
              <w:snapToGrid w:val="0"/>
              <w:spacing w:line="400" w:lineRule="exact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（或身分證明文件及字號）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36" w:space="0" w:color="FF0000"/>
            </w:tcBorders>
          </w:tcPr>
          <w:p w:rsidR="00B05842" w:rsidRPr="00B05842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89" w:type="dxa"/>
            <w:vMerge/>
            <w:tcBorders>
              <w:lef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vMerge w:val="restart"/>
          </w:tcPr>
          <w:p w:rsidR="00B05842" w:rsidRPr="00B05842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36" w:space="0" w:color="FF0000"/>
            </w:tcBorders>
            <w:vAlign w:val="center"/>
          </w:tcPr>
          <w:p w:rsidR="00B05842" w:rsidRPr="00B05842" w:rsidRDefault="00B05842" w:rsidP="00B0584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05842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89" w:type="dxa"/>
            <w:vMerge/>
            <w:tcBorders>
              <w:lef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  <w:tcBorders>
              <w:bottom w:val="single" w:sz="4" w:space="0" w:color="auto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vMerge/>
            <w:tcBorders>
              <w:bottom w:val="single" w:sz="4" w:space="0" w:color="auto"/>
            </w:tcBorders>
          </w:tcPr>
          <w:p w:rsidR="00B05842" w:rsidRPr="00B05842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36" w:space="0" w:color="FF0000"/>
            </w:tcBorders>
            <w:vAlign w:val="center"/>
          </w:tcPr>
          <w:p w:rsidR="00B05842" w:rsidRPr="00B05842" w:rsidRDefault="00B05842" w:rsidP="00B0584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05842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389" w:type="dxa"/>
            <w:vMerge/>
            <w:tcBorders>
              <w:left w:val="single" w:sz="36" w:space="0" w:color="FF0000"/>
              <w:bottom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146" w:type="dxa"/>
            <w:tcBorders>
              <w:bottom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職稱</w:t>
            </w:r>
          </w:p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官職等</w:t>
            </w:r>
          </w:p>
        </w:tc>
        <w:tc>
          <w:tcPr>
            <w:tcW w:w="1754" w:type="dxa"/>
            <w:gridSpan w:val="3"/>
            <w:tcBorders>
              <w:bottom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771" w:type="dxa"/>
            <w:gridSpan w:val="3"/>
            <w:tcBorders>
              <w:bottom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  <w:p w:rsidR="00AD0A7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郵遞區號及</w:t>
            </w:r>
          </w:p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4185" w:type="dxa"/>
            <w:gridSpan w:val="5"/>
            <w:tcBorders>
              <w:bottom w:val="single" w:sz="36" w:space="0" w:color="FF0000"/>
              <w:right w:val="single" w:sz="36" w:space="0" w:color="FF0000"/>
            </w:tcBorders>
          </w:tcPr>
          <w:p w:rsidR="00B05842" w:rsidRDefault="00B05842" w:rsidP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ED1444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535" w:type="dxa"/>
            <w:gridSpan w:val="2"/>
            <w:tcBorders>
              <w:top w:val="single" w:sz="36" w:space="0" w:color="FF0000"/>
            </w:tcBorders>
            <w:vAlign w:val="center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代表人</w:t>
            </w:r>
          </w:p>
          <w:p w:rsidR="00AD0A72" w:rsidRDefault="00164390">
            <w:pPr>
              <w:snapToGrid w:val="0"/>
              <w:spacing w:line="4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（應附具選</w:t>
            </w:r>
          </w:p>
          <w:p w:rsidR="00164390" w:rsidRDefault="00164390" w:rsidP="00AD0A72">
            <w:pPr>
              <w:snapToGrid w:val="0"/>
              <w:spacing w:line="42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定代表人文書證明）</w:t>
            </w:r>
          </w:p>
        </w:tc>
        <w:tc>
          <w:tcPr>
            <w:tcW w:w="1754" w:type="dxa"/>
            <w:gridSpan w:val="3"/>
            <w:tcBorders>
              <w:top w:val="single" w:sz="36" w:space="0" w:color="FF0000"/>
            </w:tcBorders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771" w:type="dxa"/>
            <w:gridSpan w:val="3"/>
            <w:tcBorders>
              <w:top w:val="single" w:sz="36" w:space="0" w:color="FF0000"/>
            </w:tcBorders>
            <w:vAlign w:val="center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及電話</w:t>
            </w:r>
          </w:p>
        </w:tc>
        <w:tc>
          <w:tcPr>
            <w:tcW w:w="4185" w:type="dxa"/>
            <w:gridSpan w:val="5"/>
            <w:tcBorders>
              <w:top w:val="single" w:sz="36" w:space="0" w:color="FF0000"/>
              <w:right w:val="single" w:sz="4" w:space="0" w:color="auto"/>
            </w:tcBorders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535" w:type="dxa"/>
            <w:gridSpan w:val="2"/>
            <w:vMerge w:val="restart"/>
            <w:vAlign w:val="center"/>
          </w:tcPr>
          <w:p w:rsidR="00AD0A72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代 理 人</w:t>
            </w:r>
            <w:r>
              <w:rPr>
                <w:rFonts w:ascii="標楷體" w:eastAsia="標楷體" w:hint="eastAsia"/>
                <w:sz w:val="28"/>
              </w:rPr>
              <w:t>（應附具</w:t>
            </w:r>
          </w:p>
          <w:p w:rsidR="00164390" w:rsidRDefault="00164390" w:rsidP="00AD0A72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00" w:firstLine="280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委任書）</w:t>
            </w:r>
          </w:p>
        </w:tc>
        <w:tc>
          <w:tcPr>
            <w:tcW w:w="2813" w:type="dxa"/>
            <w:gridSpan w:val="5"/>
            <w:vMerge w:val="restart"/>
            <w:vAlign w:val="center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4897" w:type="dxa"/>
            <w:gridSpan w:val="6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</w:t>
            </w:r>
            <w:r w:rsidR="00AD0A72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AD0A72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年月日</w:t>
            </w:r>
          </w:p>
        </w:tc>
      </w:tr>
      <w:tr w:rsidR="00164390" w:rsidTr="00E9171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 w:val="restart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Default="00EA0642" w:rsidP="00E9171D">
            <w:pPr>
              <w:snapToGrid w:val="0"/>
              <w:spacing w:line="3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</w:t>
            </w:r>
            <w:r w:rsidR="00164390">
              <w:rPr>
                <w:rFonts w:ascii="標楷體" w:eastAsia="標楷體" w:hint="eastAsia"/>
                <w:sz w:val="28"/>
              </w:rPr>
              <w:t>身分證統一編號</w:t>
            </w:r>
          </w:p>
          <w:p w:rsidR="00B05842" w:rsidRDefault="00B05842" w:rsidP="00E9171D">
            <w:pPr>
              <w:snapToGrid w:val="0"/>
              <w:spacing w:line="38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（或身分證明文件及字號）</w:t>
            </w: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803050" w:rsidTr="00E9171D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35" w:type="dxa"/>
            <w:gridSpan w:val="2"/>
            <w:vMerge/>
          </w:tcPr>
          <w:p w:rsidR="00803050" w:rsidRDefault="0080305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803050" w:rsidRDefault="0080305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803050" w:rsidRDefault="00803050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職業</w:t>
            </w:r>
          </w:p>
        </w:tc>
        <w:tc>
          <w:tcPr>
            <w:tcW w:w="4185" w:type="dxa"/>
            <w:gridSpan w:val="5"/>
            <w:vAlign w:val="center"/>
          </w:tcPr>
          <w:p w:rsidR="00803050" w:rsidRDefault="0080305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024CB5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1535" w:type="dxa"/>
            <w:gridSpan w:val="2"/>
            <w:vMerge/>
            <w:tcBorders>
              <w:bottom w:val="single" w:sz="36" w:space="0" w:color="FF0000"/>
            </w:tcBorders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20" w:type="dxa"/>
            <w:gridSpan w:val="4"/>
            <w:tcBorders>
              <w:bottom w:val="single" w:sz="36" w:space="0" w:color="FF0000"/>
            </w:tcBorders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事務所</w:t>
            </w:r>
          </w:p>
          <w:p w:rsidR="00164390" w:rsidRDefault="00164390">
            <w:pPr>
              <w:pStyle w:val="a3"/>
              <w:snapToGrid w:val="0"/>
              <w:spacing w:line="4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（住居所）</w:t>
            </w:r>
          </w:p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及電話</w:t>
            </w:r>
          </w:p>
        </w:tc>
        <w:tc>
          <w:tcPr>
            <w:tcW w:w="5590" w:type="dxa"/>
            <w:gridSpan w:val="7"/>
            <w:tcBorders>
              <w:bottom w:val="single" w:sz="36" w:space="0" w:color="FF0000"/>
            </w:tcBorders>
            <w:vAlign w:val="center"/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164390" w:rsidTr="00ED1444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188" w:type="dxa"/>
            <w:gridSpan w:val="3"/>
            <w:tcBorders>
              <w:left w:val="single" w:sz="36" w:space="0" w:color="FF0000"/>
              <w:bottom w:val="single" w:sz="4" w:space="0" w:color="auto"/>
            </w:tcBorders>
            <w:vAlign w:val="center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行政處分機關</w:t>
            </w:r>
          </w:p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>（或應</w:t>
            </w:r>
            <w:r>
              <w:rPr>
                <w:rFonts w:eastAsia="標楷體" w:hint="eastAsia"/>
              </w:rPr>
              <w:t>為行政處分之機關）</w:t>
            </w:r>
            <w:r>
              <w:rPr>
                <w:rFonts w:ascii="標楷體" w:eastAsia="標楷體" w:hAnsi="標楷體" w:hint="eastAsia"/>
              </w:rPr>
              <w:t>（請填全銜）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  <w:right w:val="single" w:sz="36" w:space="0" w:color="FF0000"/>
            </w:tcBorders>
          </w:tcPr>
          <w:p w:rsidR="00024CB5" w:rsidRDefault="00024CB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/>
                <w:sz w:val="40"/>
                <w:szCs w:val="40"/>
              </w:rPr>
            </w:pPr>
          </w:p>
          <w:p w:rsidR="00164390" w:rsidRPr="00570F5E" w:rsidRDefault="00723BA1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連江</w:t>
            </w:r>
            <w:r w:rsidR="00570F5E" w:rsidRPr="00570F5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縣政府</w:t>
            </w:r>
          </w:p>
        </w:tc>
      </w:tr>
      <w:tr w:rsidR="00164390" w:rsidTr="00ED144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36" w:space="0" w:color="FF0000"/>
              <w:bottom w:val="single" w:sz="36" w:space="0" w:color="FF0000"/>
            </w:tcBorders>
            <w:vAlign w:val="center"/>
          </w:tcPr>
          <w:p w:rsidR="00164390" w:rsidRPr="00AD0A72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行政處分書發文日期及文號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36" w:space="0" w:color="FF0000"/>
            </w:tcBorders>
          </w:tcPr>
          <w:p w:rsidR="00164390" w:rsidRPr="00A2676A" w:rsidRDefault="00723BA1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連江</w:t>
            </w:r>
            <w:r w:rsidR="00570F5E" w:rsidRPr="00A2676A">
              <w:rPr>
                <w:rFonts w:ascii="標楷體" w:eastAsia="標楷體" w:hAnsi="標楷體" w:hint="eastAsia"/>
                <w:b/>
                <w:color w:val="FF0000"/>
                <w:sz w:val="28"/>
              </w:rPr>
              <w:t>縣政府</w:t>
            </w:r>
            <w:r w:rsidR="00ED1444" w:rsidRPr="00A2676A">
              <w:rPr>
                <w:rFonts w:ascii="標楷體" w:eastAsia="標楷體" w:hAnsi="標楷體" w:hint="eastAsia"/>
                <w:b/>
                <w:color w:val="FF0000"/>
                <w:sz w:val="28"/>
              </w:rPr>
              <w:t>107年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6</w:t>
            </w:r>
            <w:r w:rsidR="00ED1444" w:rsidRPr="00A2676A">
              <w:rPr>
                <w:rFonts w:ascii="標楷體" w:eastAsia="標楷體" w:hAnsi="標楷體" w:hint="eastAsia"/>
                <w:b/>
                <w:color w:val="FF0000"/>
                <w:sz w:val="28"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日府人考</w:t>
            </w:r>
            <w:r w:rsidR="00ED1444" w:rsidRPr="00A2676A">
              <w:rPr>
                <w:rFonts w:ascii="標楷體" w:eastAsia="標楷體" w:hAnsi="標楷體" w:hint="eastAsia"/>
                <w:b/>
                <w:color w:val="FF0000"/>
                <w:sz w:val="28"/>
              </w:rPr>
              <w:t>字第</w:t>
            </w:r>
            <w:r>
              <w:rPr>
                <w:rFonts w:ascii="新細明體" w:hAnsi="新細明體" w:cs="新細明體" w:hint="eastAsia"/>
                <w:b/>
                <w:color w:val="FF0000"/>
                <w:sz w:val="28"/>
              </w:rPr>
              <w:t xml:space="preserve">        </w:t>
            </w:r>
            <w:r w:rsidR="00ED1444" w:rsidRPr="00A2676A">
              <w:rPr>
                <w:rFonts w:ascii="標楷體" w:eastAsia="標楷體" w:hAnsi="標楷體" w:hint="eastAsia"/>
                <w:b/>
                <w:color w:val="FF0000"/>
                <w:sz w:val="28"/>
              </w:rPr>
              <w:t>號函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36" w:space="0" w:color="FF0000"/>
            </w:tcBorders>
            <w:vAlign w:val="center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復審人收受或知悉行政處分之年月日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36" w:space="0" w:color="FF0000"/>
              <w:right w:val="single" w:sz="36" w:space="0" w:color="FF0000"/>
            </w:tcBorders>
          </w:tcPr>
          <w:p w:rsidR="00164390" w:rsidRDefault="00ED1444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107.6.</w:t>
            </w:r>
          </w:p>
        </w:tc>
      </w:tr>
      <w:tr w:rsidR="00164390" w:rsidRPr="00873423" w:rsidTr="00E9171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2188" w:type="dxa"/>
            <w:gridSpan w:val="3"/>
            <w:vAlign w:val="center"/>
          </w:tcPr>
          <w:p w:rsidR="00164390" w:rsidRPr="00873423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行政處分</w:t>
            </w:r>
          </w:p>
          <w:p w:rsidR="00164390" w:rsidRPr="00873423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Ansi="標楷體" w:hint="eastAsia"/>
                <w:sz w:val="30"/>
                <w:szCs w:val="30"/>
              </w:rPr>
              <w:t>要旨</w:t>
            </w:r>
          </w:p>
        </w:tc>
        <w:tc>
          <w:tcPr>
            <w:tcW w:w="7057" w:type="dxa"/>
            <w:gridSpan w:val="10"/>
          </w:tcPr>
          <w:p w:rsidR="00164390" w:rsidRPr="00873423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/>
                <w:sz w:val="30"/>
                <w:szCs w:val="30"/>
              </w:rPr>
            </w:pPr>
          </w:p>
          <w:p w:rsidR="00164390" w:rsidRPr="00873423" w:rsidRDefault="00062D92" w:rsidP="00062D92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873423">
              <w:rPr>
                <w:rFonts w:ascii="標楷體" w:eastAsia="標楷體" w:hAnsi="標楷體" w:hint="eastAsia"/>
                <w:sz w:val="30"/>
                <w:szCs w:val="30"/>
              </w:rPr>
              <w:t>重新審定退休給與標準</w:t>
            </w:r>
          </w:p>
        </w:tc>
      </w:tr>
      <w:tr w:rsidR="00164390" w:rsidRPr="00873423" w:rsidTr="00B92716">
        <w:tblPrEx>
          <w:tblCellMar>
            <w:top w:w="0" w:type="dxa"/>
            <w:bottom w:w="0" w:type="dxa"/>
          </w:tblCellMar>
        </w:tblPrEx>
        <w:trPr>
          <w:trHeight w:val="13033"/>
        </w:trPr>
        <w:tc>
          <w:tcPr>
            <w:tcW w:w="9245" w:type="dxa"/>
            <w:gridSpan w:val="13"/>
          </w:tcPr>
          <w:p w:rsidR="001323A8" w:rsidRPr="00873423" w:rsidRDefault="001323A8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t>復審請求事項及其事實、理由</w:t>
            </w:r>
          </w:p>
          <w:p w:rsidR="00B40609" w:rsidRDefault="00B40609" w:rsidP="00B40609">
            <w:pPr>
              <w:spacing w:line="5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一、請求事項</w:t>
            </w:r>
          </w:p>
          <w:p w:rsidR="00B40609" w:rsidRPr="00846937" w:rsidRDefault="00B40609" w:rsidP="00B40609">
            <w:pPr>
              <w:spacing w:line="520" w:lineRule="exact"/>
              <w:rPr>
                <w:rFonts w:ascii="標楷體" w:eastAsia="標楷體"/>
                <w:sz w:val="32"/>
              </w:rPr>
            </w:pPr>
            <w:r w:rsidRPr="00846937">
              <w:rPr>
                <w:rFonts w:ascii="標楷體" w:eastAsia="標楷體" w:hint="eastAsia"/>
                <w:sz w:val="30"/>
                <w:szCs w:val="30"/>
              </w:rPr>
              <w:t>撤銷原處分且</w:t>
            </w:r>
            <w:r w:rsidRPr="00846937">
              <w:rPr>
                <w:rFonts w:ascii="標楷體" w:eastAsia="標楷體" w:hint="eastAsia"/>
                <w:sz w:val="32"/>
              </w:rPr>
              <w:t>基於依法行政與信賴保護原因</w:t>
            </w:r>
            <w:r w:rsidRPr="00846937">
              <w:rPr>
                <w:rFonts w:ascii="標楷體" w:eastAsia="標楷體" w:hAnsi="標楷體" w:hint="eastAsia"/>
                <w:sz w:val="32"/>
              </w:rPr>
              <w:t>，復審人認為本案事關重大</w:t>
            </w:r>
            <w:r w:rsidRPr="00846937">
              <w:rPr>
                <w:rFonts w:ascii="標楷體" w:eastAsia="標楷體" w:hint="eastAsia"/>
                <w:sz w:val="32"/>
              </w:rPr>
              <w:t>須申請言詞辯論及陳述意見</w:t>
            </w:r>
            <w:r w:rsidRPr="00846937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5C7F1A" w:rsidRPr="00873423" w:rsidRDefault="001323A8" w:rsidP="000F4284">
            <w:pPr>
              <w:spacing w:line="500" w:lineRule="exact"/>
              <w:jc w:val="both"/>
              <w:rPr>
                <w:rFonts w:ascii="標楷體" w:eastAsia="標楷體"/>
                <w:sz w:val="30"/>
                <w:szCs w:val="30"/>
              </w:rPr>
            </w:pPr>
            <w:r w:rsidRPr="009F1EC7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二、事實：</w:t>
            </w:r>
            <w:r w:rsidR="005C7F1A" w:rsidRPr="009F1EC7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 xml:space="preserve">復審人於民國　</w:t>
            </w:r>
            <w:r w:rsidR="00AD0A72" w:rsidRPr="009F1EC7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 xml:space="preserve"> </w:t>
            </w:r>
            <w:r w:rsidR="005C7F1A" w:rsidRPr="009F1EC7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 xml:space="preserve">　年　　月　　日，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>奉</w:t>
            </w:r>
            <w:r w:rsidR="00723BA1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連江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縣政府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>依當時有效之</w:t>
            </w:r>
            <w:r w:rsidR="005C7F1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「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學校教職員退休條例</w:t>
            </w:r>
            <w:r w:rsidR="005C7F1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」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>核定退休生效，並依法給與退休所得，包括退休金及依退休時優惠存款相關規定給與之優惠存款等在案。復審人與國家間退休給與關係之內容、種類、金額，於退休生效當時，均已告確定。依憲法第十八條規定，復審人所享有之退休金等權利，自應受到制度性保障（大法官釋字第四八三號、五七五號、六○五號解釋）。廼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教育部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>竟無視於此，草擬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「公立學校教職員退休資遣撫卹條例」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>，送請立法院完成立法程序，並依據該等新制定之法律，溯及既往，重新調整、計算復審人退休所得，幾減泰半？使</w:t>
            </w:r>
            <w:r w:rsidR="00500DEC" w:rsidRPr="00873423">
              <w:rPr>
                <w:rFonts w:ascii="標楷體" w:eastAsia="標楷體" w:hint="eastAsia"/>
                <w:sz w:val="30"/>
                <w:szCs w:val="30"/>
              </w:rPr>
              <w:t>復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>審人退休權益嚴重受創。</w:t>
            </w:r>
          </w:p>
          <w:p w:rsidR="001323A8" w:rsidRPr="00873423" w:rsidRDefault="001323A8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t>三、理由</w:t>
            </w:r>
          </w:p>
          <w:p w:rsidR="00500DEC" w:rsidRPr="00873423" w:rsidRDefault="00500DEC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t>憲法第一百七十一條第一項規定：「法律與憲法牴觸者無效」，第一百七十二條規定：「命令與憲法或法律牴觸者無效」，而法安定性原則及信賴保護原則</w:t>
            </w:r>
            <w:r w:rsidR="00062D92" w:rsidRPr="00873423">
              <w:rPr>
                <w:rFonts w:ascii="標楷體" w:eastAsia="標楷體" w:hint="eastAsia"/>
                <w:sz w:val="30"/>
                <w:szCs w:val="30"/>
              </w:rPr>
              <w:t>(大法官釋字第五二五號</w:t>
            </w:r>
            <w:r w:rsidR="007320E2" w:rsidRPr="00873423">
              <w:rPr>
                <w:rFonts w:ascii="標楷體" w:eastAsia="標楷體" w:hint="eastAsia"/>
                <w:sz w:val="30"/>
                <w:szCs w:val="30"/>
              </w:rPr>
              <w:t>及</w:t>
            </w:r>
            <w:r w:rsidR="00062D92" w:rsidRPr="00873423">
              <w:rPr>
                <w:rFonts w:ascii="標楷體" w:eastAsia="標楷體" w:hint="eastAsia"/>
                <w:sz w:val="30"/>
                <w:szCs w:val="30"/>
              </w:rPr>
              <w:t>五二九號解釋)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均係憲法上基本原則，其對退休人員顯現於新、舊法律之比較最重要者，厥為法律不溯及既往之原則。故大法官釋字七一七號解釋稱：「按新訂之法</w:t>
            </w:r>
            <w:r w:rsidR="001572FF" w:rsidRPr="00873423">
              <w:rPr>
                <w:rFonts w:ascii="標楷體" w:eastAsia="標楷體" w:hint="eastAsia"/>
                <w:sz w:val="30"/>
                <w:szCs w:val="30"/>
              </w:rPr>
              <w:t>規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，原則上不得適用於該法規生效前業已終結之事實或法律關係，是謂禁止法律溯及既往原則。倘新法規所規範之法律關係，跨越新、舊法規施行時期，而構成要件事實於新法規生效施行後始完全實現者，除法規別有規定外，應適用新法規」，以及釋字第六二○號解釋稱：「新法規</w:t>
            </w:r>
            <w:r w:rsidR="001572FF" w:rsidRPr="00873423">
              <w:rPr>
                <w:rFonts w:ascii="標楷體" w:eastAsia="標楷體" w:hint="eastAsia"/>
                <w:sz w:val="30"/>
                <w:szCs w:val="30"/>
              </w:rPr>
              <w:t>範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之法律關係如跨越新舊法施行時期，當特定法條之所有構成要件</w:t>
            </w:r>
            <w:r w:rsidR="00BB5FDC" w:rsidRPr="00873423">
              <w:rPr>
                <w:rFonts w:ascii="標楷體" w:eastAsia="標楷體" w:hint="eastAsia"/>
                <w:sz w:val="30"/>
                <w:szCs w:val="30"/>
              </w:rPr>
              <w:t>事實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於新法生效施行後始完全實現時，則無待法律另為明文規定，本即應適用法條構成要件與生活事實合致時有效之新法，根據新法定其法律效果」各等語。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lastRenderedPageBreak/>
              <w:t>換言之，於舊法施行時，舊法特定法條之所有構成要件，業已完全實現者，即應適用法條構成要件與生活事實合致時有效之舊法，根據舊法定其法律效果，斯即法律不溯及既往之原則，此與跨越新、舊法施行時期之法律效果，完全不同。復審人退休時所適用之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「學校教職員退休條例」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及</w:t>
            </w:r>
            <w:r w:rsidRPr="00873423">
              <w:rPr>
                <w:rFonts w:ascii="標楷體" w:eastAsia="標楷體" w:hint="eastAsia"/>
                <w:color w:val="000000"/>
                <w:sz w:val="30"/>
                <w:szCs w:val="30"/>
              </w:rPr>
              <w:t>退休時優惠存款相關規定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，以</w:t>
            </w:r>
            <w:r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八十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五</w:t>
            </w:r>
            <w:r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年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二</w:t>
            </w:r>
            <w:r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月一日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為界，新、舊制分段適用，在之前者適用「舊」制（恩給制），在之後者適用（儲金制），對目前新制定之</w:t>
            </w:r>
            <w:r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「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公立學校教職員</w:t>
            </w:r>
            <w:r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退休資遣撫卹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條例</w:t>
            </w:r>
            <w:r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」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而言，該等分段適用之新、舊制，概屬舊法之一部分。釋字第七一七號解釋，係針對舊法中跨越恩給制與儲金制而立論，乃</w:t>
            </w:r>
            <w:r w:rsidR="00723BA1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連江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縣政府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不察，竟認為目前甫行新制定</w:t>
            </w:r>
            <w:r w:rsidR="00A2676A" w:rsidRPr="00A2676A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「公立學校教職員退休資遣撫卹條例」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及</w:t>
            </w:r>
            <w:r w:rsidRPr="00873423">
              <w:rPr>
                <w:rFonts w:ascii="標楷體" w:eastAsia="標楷體" w:hint="eastAsia"/>
                <w:color w:val="000000"/>
                <w:sz w:val="30"/>
                <w:szCs w:val="30"/>
              </w:rPr>
              <w:t>退休時優惠存款相關規定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，亦可跨越於舊法施行時期已退休人員，並溯及適用，其誤解釋字第七一七號解釋，竟至如此，良堪浩嘆，懇請予以糾正。</w:t>
            </w:r>
          </w:p>
          <w:p w:rsidR="00164390" w:rsidRPr="00873423" w:rsidRDefault="00164390">
            <w:pPr>
              <w:rPr>
                <w:rFonts w:ascii="標楷體" w:eastAsia="標楷體" w:hint="eastAsia"/>
                <w:sz w:val="28"/>
                <w:szCs w:val="28"/>
              </w:rPr>
            </w:pP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證據</w:t>
            </w: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附件：</w:t>
            </w:r>
          </w:p>
          <w:p w:rsidR="00AE0DEE" w:rsidRPr="0054419E" w:rsidRDefault="00AE0DEE" w:rsidP="0054419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left="561" w:hangingChars="200" w:hanging="561"/>
              <w:jc w:val="both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 w:rsidRPr="0054419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一、</w:t>
            </w:r>
            <w:r w:rsidR="00481E74" w:rsidRPr="005441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退休重新審定</w:t>
            </w:r>
            <w:r w:rsidR="00A2676A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通知書</w:t>
            </w:r>
            <w:r w:rsidRPr="0054419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影本</w:t>
            </w: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二、代理人委任書正本(未委任代理人者免附)。</w:t>
            </w: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三、代表人選定證明書正本(未選定代表人者免附)。</w:t>
            </w:r>
          </w:p>
          <w:p w:rsidR="00FA0559" w:rsidRPr="00873423" w:rsidRDefault="00FA0559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本復審書乙式二份，此致</w:t>
            </w:r>
          </w:p>
          <w:p w:rsidR="00AE0DEE" w:rsidRPr="00570F5E" w:rsidRDefault="003B161B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723BA1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連江</w:t>
            </w:r>
            <w:r w:rsidR="00570F5E" w:rsidRPr="00570F5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縣政府</w:t>
            </w:r>
          </w:p>
          <w:p w:rsidR="00AE0DEE" w:rsidRPr="00873423" w:rsidRDefault="00AE0DEE" w:rsidP="00873423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firstLineChars="200" w:firstLine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轉陳</w:t>
            </w:r>
          </w:p>
          <w:p w:rsidR="00E9171D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公務人員保障暨培訓委員會</w:t>
            </w:r>
          </w:p>
          <w:p w:rsidR="00E9171D" w:rsidRPr="00873423" w:rsidRDefault="00E9171D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B92716" w:rsidRPr="009F1EC7" w:rsidRDefault="00AE0DEE" w:rsidP="009F1EC7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13" w:firstLine="3119"/>
              <w:jc w:val="both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 w:rsidRPr="009F1EC7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復審人：                   （簽章）</w:t>
            </w:r>
          </w:p>
          <w:p w:rsidR="00AE0DEE" w:rsidRPr="00873423" w:rsidRDefault="00AE0DEE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25" w:firstLine="315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代表人：                   （簽章）</w:t>
            </w:r>
          </w:p>
          <w:p w:rsidR="00AE0DEE" w:rsidRDefault="00AE0DEE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25" w:firstLine="315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代理人：                   （簽章）</w:t>
            </w:r>
          </w:p>
          <w:p w:rsidR="00164390" w:rsidRPr="009F1EC7" w:rsidRDefault="005C68FF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中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華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</w:t>
            </w:r>
            <w:r w:rsidR="008256BF"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民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國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年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月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日</w:t>
            </w:r>
          </w:p>
        </w:tc>
      </w:tr>
    </w:tbl>
    <w:p w:rsidR="00873423" w:rsidRPr="00E9171D" w:rsidRDefault="00873423" w:rsidP="00873423">
      <w:pPr>
        <w:spacing w:line="500" w:lineRule="exact"/>
        <w:rPr>
          <w:rFonts w:ascii="標楷體" w:eastAsia="標楷體" w:hAnsi="標楷體"/>
          <w:b/>
          <w:sz w:val="20"/>
          <w:szCs w:val="20"/>
        </w:rPr>
      </w:pPr>
    </w:p>
    <w:sectPr w:rsidR="00873423" w:rsidRPr="00E9171D" w:rsidSect="00E9171D">
      <w:footerReference w:type="default" r:id="rId9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79" w:rsidRDefault="003E3979" w:rsidP="001F3932">
      <w:r>
        <w:separator/>
      </w:r>
    </w:p>
  </w:endnote>
  <w:endnote w:type="continuationSeparator" w:id="0">
    <w:p w:rsidR="003E3979" w:rsidRDefault="003E3979" w:rsidP="001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7D" w:rsidRDefault="00CE077D">
    <w:pPr>
      <w:pStyle w:val="a8"/>
    </w:pPr>
  </w:p>
  <w:p w:rsidR="00CE077D" w:rsidRDefault="00CE07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79" w:rsidRDefault="003E3979" w:rsidP="001F3932">
      <w:r>
        <w:separator/>
      </w:r>
    </w:p>
  </w:footnote>
  <w:footnote w:type="continuationSeparator" w:id="0">
    <w:p w:rsidR="003E3979" w:rsidRDefault="003E3979" w:rsidP="001F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403"/>
    <w:multiLevelType w:val="hybridMultilevel"/>
    <w:tmpl w:val="270C44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3E"/>
    <w:rsid w:val="000100F1"/>
    <w:rsid w:val="00024CB5"/>
    <w:rsid w:val="00062D92"/>
    <w:rsid w:val="000826B9"/>
    <w:rsid w:val="000A102F"/>
    <w:rsid w:val="000D45A4"/>
    <w:rsid w:val="000D6633"/>
    <w:rsid w:val="000F4284"/>
    <w:rsid w:val="00130DCD"/>
    <w:rsid w:val="001323A8"/>
    <w:rsid w:val="00141ADB"/>
    <w:rsid w:val="00153109"/>
    <w:rsid w:val="001572FF"/>
    <w:rsid w:val="001639B5"/>
    <w:rsid w:val="00164390"/>
    <w:rsid w:val="00192010"/>
    <w:rsid w:val="001B74B4"/>
    <w:rsid w:val="001C01EC"/>
    <w:rsid w:val="001F3932"/>
    <w:rsid w:val="0020446E"/>
    <w:rsid w:val="00227B89"/>
    <w:rsid w:val="00243135"/>
    <w:rsid w:val="00276042"/>
    <w:rsid w:val="002C423E"/>
    <w:rsid w:val="00322BF0"/>
    <w:rsid w:val="003267F1"/>
    <w:rsid w:val="00346071"/>
    <w:rsid w:val="003603E9"/>
    <w:rsid w:val="00375E1C"/>
    <w:rsid w:val="003B161B"/>
    <w:rsid w:val="003B677B"/>
    <w:rsid w:val="003C7513"/>
    <w:rsid w:val="003E3979"/>
    <w:rsid w:val="003F4854"/>
    <w:rsid w:val="004009E6"/>
    <w:rsid w:val="004554A4"/>
    <w:rsid w:val="00473326"/>
    <w:rsid w:val="00481E74"/>
    <w:rsid w:val="00500DEC"/>
    <w:rsid w:val="005167ED"/>
    <w:rsid w:val="005247E3"/>
    <w:rsid w:val="0054419E"/>
    <w:rsid w:val="00556E3E"/>
    <w:rsid w:val="00570F5E"/>
    <w:rsid w:val="005C0F76"/>
    <w:rsid w:val="005C68FF"/>
    <w:rsid w:val="005C7BCB"/>
    <w:rsid w:val="005C7F1A"/>
    <w:rsid w:val="006006A2"/>
    <w:rsid w:val="00671906"/>
    <w:rsid w:val="006A2280"/>
    <w:rsid w:val="006E43A5"/>
    <w:rsid w:val="00723BA1"/>
    <w:rsid w:val="00725923"/>
    <w:rsid w:val="007320E2"/>
    <w:rsid w:val="0074222E"/>
    <w:rsid w:val="007D3EC4"/>
    <w:rsid w:val="00803050"/>
    <w:rsid w:val="0081212B"/>
    <w:rsid w:val="008256BF"/>
    <w:rsid w:val="008504DA"/>
    <w:rsid w:val="00873423"/>
    <w:rsid w:val="0088780A"/>
    <w:rsid w:val="008A1C23"/>
    <w:rsid w:val="008C71A8"/>
    <w:rsid w:val="00906B5E"/>
    <w:rsid w:val="009276CE"/>
    <w:rsid w:val="009B45CC"/>
    <w:rsid w:val="009C7A3E"/>
    <w:rsid w:val="009D2B30"/>
    <w:rsid w:val="009D5B02"/>
    <w:rsid w:val="009F085D"/>
    <w:rsid w:val="009F1EC7"/>
    <w:rsid w:val="00A03DA3"/>
    <w:rsid w:val="00A2676A"/>
    <w:rsid w:val="00A32E6A"/>
    <w:rsid w:val="00A42E90"/>
    <w:rsid w:val="00A50568"/>
    <w:rsid w:val="00A678C2"/>
    <w:rsid w:val="00AA4F78"/>
    <w:rsid w:val="00AC1C18"/>
    <w:rsid w:val="00AD0A72"/>
    <w:rsid w:val="00AE0DEE"/>
    <w:rsid w:val="00B05842"/>
    <w:rsid w:val="00B10849"/>
    <w:rsid w:val="00B40609"/>
    <w:rsid w:val="00B64405"/>
    <w:rsid w:val="00B76FC4"/>
    <w:rsid w:val="00B8002E"/>
    <w:rsid w:val="00B92716"/>
    <w:rsid w:val="00BB5FDC"/>
    <w:rsid w:val="00BE52B0"/>
    <w:rsid w:val="00C23E78"/>
    <w:rsid w:val="00CD65E8"/>
    <w:rsid w:val="00CE077D"/>
    <w:rsid w:val="00D60019"/>
    <w:rsid w:val="00DA0289"/>
    <w:rsid w:val="00DF5D9B"/>
    <w:rsid w:val="00E1288C"/>
    <w:rsid w:val="00E9171D"/>
    <w:rsid w:val="00EA0642"/>
    <w:rsid w:val="00ED1444"/>
    <w:rsid w:val="00F23252"/>
    <w:rsid w:val="00F33EEA"/>
    <w:rsid w:val="00F50B5D"/>
    <w:rsid w:val="00F5379D"/>
    <w:rsid w:val="00F7499F"/>
    <w:rsid w:val="00F84F9C"/>
    <w:rsid w:val="00F85602"/>
    <w:rsid w:val="00FA0559"/>
    <w:rsid w:val="00FC4B1D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288C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E1288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F3932"/>
    <w:rPr>
      <w:kern w:val="2"/>
    </w:rPr>
  </w:style>
  <w:style w:type="paragraph" w:styleId="a8">
    <w:name w:val="footer"/>
    <w:basedOn w:val="a"/>
    <w:link w:val="a9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F393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288C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E1288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F3932"/>
    <w:rPr>
      <w:kern w:val="2"/>
    </w:rPr>
  </w:style>
  <w:style w:type="paragraph" w:styleId="a8">
    <w:name w:val="footer"/>
    <w:basedOn w:val="a"/>
    <w:link w:val="a9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F39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5E3E-8397-4EFB-9A50-B2163002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>ITianKong.Com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再申訴書格式範例                                   請先詳閱再申訴書填寫說明</dc:title>
  <dc:creator>0001</dc:creator>
  <cp:lastModifiedBy>Administrator</cp:lastModifiedBy>
  <cp:revision>2</cp:revision>
  <cp:lastPrinted>2018-06-15T01:30:00Z</cp:lastPrinted>
  <dcterms:created xsi:type="dcterms:W3CDTF">2018-06-15T03:58:00Z</dcterms:created>
  <dcterms:modified xsi:type="dcterms:W3CDTF">2018-06-15T03:58:00Z</dcterms:modified>
</cp:coreProperties>
</file>