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07" w:rsidRDefault="004D1507">
      <w:pPr>
        <w:spacing w:before="113" w:after="113" w:line="520" w:lineRule="exact"/>
        <w:rPr>
          <w:rFonts w:eastAsia="標楷體"/>
          <w:sz w:val="52"/>
        </w:rPr>
      </w:pPr>
      <w:bookmarkStart w:id="0" w:name="_GoBack"/>
      <w:bookmarkEnd w:id="0"/>
      <w:r>
        <w:rPr>
          <w:rFonts w:eastAsia="標楷體"/>
          <w:sz w:val="52"/>
        </w:rPr>
        <w:t>連江縣政府暨所屬各機關工程管理費支用要點</w:t>
      </w:r>
    </w:p>
    <w:p w:rsidR="004D1507" w:rsidRDefault="004D1507" w:rsidP="00EC3FCD">
      <w:pPr>
        <w:spacing w:before="113" w:after="113" w:line="500" w:lineRule="exact"/>
        <w:ind w:left="1080" w:hanging="1080"/>
        <w:rPr>
          <w:rFonts w:eastAsia="標楷體"/>
          <w:sz w:val="28"/>
        </w:rPr>
      </w:pPr>
      <w:r>
        <w:rPr>
          <w:rFonts w:eastAsia="標楷體"/>
        </w:rPr>
        <w:t xml:space="preserve">　　</w:t>
      </w:r>
      <w:r>
        <w:rPr>
          <w:rFonts w:eastAsia="標楷體"/>
          <w:sz w:val="28"/>
        </w:rPr>
        <w:t>一、連江縣政府（以下簡稱本府）暨所屬各機關工程管理費之支用，除法令另有規定外，依本要點之規定。</w:t>
      </w:r>
    </w:p>
    <w:p w:rsidR="004D1507" w:rsidRDefault="004D1507" w:rsidP="00EC3FCD">
      <w:pPr>
        <w:spacing w:before="113" w:after="113"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二、本辦法所稱工程管理費，指主辦機關辦理工程所需之項管理費用。</w:t>
      </w:r>
    </w:p>
    <w:p w:rsidR="004D1507" w:rsidRDefault="004D1507" w:rsidP="00EC3FCD">
      <w:pPr>
        <w:spacing w:before="113" w:after="113"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三、工程管理費之支用項目如下：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（一）工作人員差旅費、趕工加班、誤餐及因工公傷亡之醫藥、慰問等費用。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（二）因工程需要，聘請臨時專門技術人員或僱用臨時監工、技工、雜工人員等之人事費用。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（三）因工程所需文具紙張、圖書、郵電、印刷、水電、茶水、會議餐點、便餐、攝（録）影與照片及工作服等費用。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（四）工棚費、工地租金、工地臨時租用辦公處所之租金及所需之設備、設施與美化工程辦公處所購置之花卉等費用。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（五）工程車輛之修護、油料及租用等費用。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（六）工地所需儀器及設備之購置、修護及租用費用。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（七）建築證照費、工程圖說、公告、登報、評鑑、鑑定、檢驗、審查及執照規費等費用。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（八）徵圖、比圖、工程模型、評選作業費（含評審費）、評選獎勵金及紀念牌等費用。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（九）工程開辦、協調、宣導、研討、民俗、委託律師、訴訟、法律顧問、異議申訴、履約調解及工程爭議之仲裁等所需費用。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（十）特殊支援慰勞費用。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（十一）邀請專家、學者指導工程所需或為改進專業工程業務舉辦之專題演講等費用。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（十二）發給員工工程效率獎金或自辦工程規劃、設計、監造之工程獎金，發給要點另訂之。</w:t>
      </w:r>
    </w:p>
    <w:p w:rsidR="004D1507" w:rsidRDefault="004D1507" w:rsidP="00EC3FCD">
      <w:pPr>
        <w:spacing w:before="113" w:after="113" w:line="500" w:lineRule="exact"/>
        <w:ind w:left="1960" w:hanging="1960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 xml:space="preserve">　　　　（十三）其他工程管理所必需之費用。</w:t>
      </w:r>
    </w:p>
    <w:p w:rsidR="004D1507" w:rsidRDefault="004D1507" w:rsidP="00EC3FCD">
      <w:pPr>
        <w:spacing w:before="113" w:after="113"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四、各機關提列工程管理費之百分比如下：</w:t>
      </w:r>
    </w:p>
    <w:p w:rsidR="004D1507" w:rsidRDefault="004D1507" w:rsidP="00EC3FCD">
      <w:pPr>
        <w:spacing w:before="113" w:after="113" w:line="500" w:lineRule="exact"/>
        <w:ind w:left="2080" w:hanging="112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（一）委託建築師、技師或技術顧問機構承辦技術服務者，其工程管理費提列百分比如下表：</w:t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1"/>
        <w:gridCol w:w="1586"/>
        <w:gridCol w:w="4938"/>
      </w:tblGrid>
      <w:tr w:rsidR="004D1507" w:rsidTr="00EC3FCD">
        <w:trPr>
          <w:cantSplit/>
          <w:trHeight w:hRule="exact" w:val="60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工程結算總價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最高標準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4D1507" w:rsidTr="00EC3FCD">
        <w:trPr>
          <w:cantSplit/>
          <w:trHeight w:hRule="exact" w:val="60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萬元以下部份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3.0</w:t>
            </w:r>
            <w:r>
              <w:rPr>
                <w:rFonts w:eastAsia="標楷體"/>
                <w:sz w:val="28"/>
              </w:rPr>
              <w:t>％</w:t>
            </w:r>
          </w:p>
        </w:tc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507" w:rsidRDefault="004D1507" w:rsidP="00EC3FCD">
            <w:pPr>
              <w:snapToGrid w:val="0"/>
              <w:spacing w:before="113" w:after="113"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一、單位新臺幣元。</w:t>
            </w:r>
          </w:p>
          <w:p w:rsidR="00EC3FCD" w:rsidRDefault="004D1507" w:rsidP="00EC3FCD">
            <w:pPr>
              <w:spacing w:before="113" w:after="113" w:line="300" w:lineRule="exact"/>
              <w:rPr>
                <w:rFonts w:eastAsia="標楷體" w:hint="eastAsia"/>
                <w:sz w:val="28"/>
                <w:lang w:eastAsia="zh-TW"/>
              </w:rPr>
            </w:pPr>
            <w:r>
              <w:rPr>
                <w:rFonts w:eastAsia="標楷體"/>
                <w:sz w:val="28"/>
              </w:rPr>
              <w:t>二、工程管理費按上列標準逐級差額累</w:t>
            </w:r>
            <w:r w:rsidR="00EC3FCD">
              <w:rPr>
                <w:rFonts w:eastAsia="標楷體" w:hint="eastAsia"/>
                <w:sz w:val="28"/>
                <w:lang w:eastAsia="zh-TW"/>
              </w:rPr>
              <w:t xml:space="preserve"> </w:t>
            </w:r>
          </w:p>
          <w:p w:rsidR="004D1507" w:rsidRDefault="00EC3FCD" w:rsidP="00EC3FCD">
            <w:pPr>
              <w:spacing w:before="113" w:after="113"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TW"/>
              </w:rPr>
              <w:t xml:space="preserve">     </w:t>
            </w:r>
            <w:r w:rsidR="004D1507">
              <w:rPr>
                <w:rFonts w:eastAsia="標楷體"/>
                <w:sz w:val="28"/>
              </w:rPr>
              <w:t>退計算。</w:t>
            </w:r>
          </w:p>
          <w:p w:rsidR="00EC3FCD" w:rsidRDefault="004D1507" w:rsidP="00EC3FCD">
            <w:pPr>
              <w:spacing w:before="113" w:after="113" w:line="300" w:lineRule="exact"/>
              <w:rPr>
                <w:rFonts w:eastAsia="標楷體" w:hint="eastAsia"/>
                <w:sz w:val="28"/>
                <w:lang w:eastAsia="zh-TW"/>
              </w:rPr>
            </w:pPr>
            <w:r>
              <w:rPr>
                <w:rFonts w:eastAsia="標楷體"/>
                <w:sz w:val="28"/>
              </w:rPr>
              <w:t>三、重大或特殊之工程，其標準得專案</w:t>
            </w:r>
          </w:p>
          <w:p w:rsidR="004D1507" w:rsidRDefault="00EC3FCD" w:rsidP="00EC3FCD">
            <w:pPr>
              <w:spacing w:before="113" w:after="113"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TW"/>
              </w:rPr>
              <w:t xml:space="preserve">     </w:t>
            </w:r>
            <w:r w:rsidR="004D1507">
              <w:rPr>
                <w:rFonts w:eastAsia="標楷體"/>
                <w:sz w:val="28"/>
              </w:rPr>
              <w:t>提請行政院調整。</w:t>
            </w:r>
          </w:p>
        </w:tc>
      </w:tr>
      <w:tr w:rsidR="004D1507" w:rsidTr="00EC3FCD">
        <w:trPr>
          <w:cantSplit/>
          <w:trHeight w:hRule="exact" w:val="60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超過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萬元至</w:t>
            </w:r>
            <w:r>
              <w:rPr>
                <w:rFonts w:eastAsia="標楷體"/>
                <w:sz w:val="28"/>
              </w:rPr>
              <w:t>2,500</w:t>
            </w:r>
            <w:r>
              <w:rPr>
                <w:rFonts w:eastAsia="標楷體"/>
                <w:sz w:val="28"/>
              </w:rPr>
              <w:t>萬元部分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1.5</w:t>
            </w:r>
            <w:r>
              <w:rPr>
                <w:rFonts w:eastAsia="標楷體"/>
                <w:sz w:val="28"/>
              </w:rPr>
              <w:t>％</w:t>
            </w:r>
          </w:p>
        </w:tc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</w:p>
        </w:tc>
      </w:tr>
      <w:tr w:rsidR="004D1507" w:rsidTr="00EC3FCD">
        <w:trPr>
          <w:cantSplit/>
          <w:trHeight w:hRule="exact" w:val="60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超過</w:t>
            </w:r>
            <w:r>
              <w:rPr>
                <w:rFonts w:eastAsia="標楷體"/>
                <w:sz w:val="28"/>
              </w:rPr>
              <w:t>2,500</w:t>
            </w:r>
            <w:r>
              <w:rPr>
                <w:rFonts w:eastAsia="標楷體"/>
                <w:sz w:val="28"/>
              </w:rPr>
              <w:t>萬元至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億元部分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1.0</w:t>
            </w:r>
            <w:r>
              <w:rPr>
                <w:rFonts w:eastAsia="標楷體"/>
                <w:sz w:val="28"/>
              </w:rPr>
              <w:t>％</w:t>
            </w:r>
          </w:p>
        </w:tc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</w:p>
        </w:tc>
      </w:tr>
      <w:tr w:rsidR="004D1507" w:rsidTr="00EC3FCD">
        <w:trPr>
          <w:cantSplit/>
          <w:trHeight w:hRule="exact" w:val="60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超過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億元至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億元部分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0.7</w:t>
            </w:r>
            <w:r>
              <w:rPr>
                <w:rFonts w:eastAsia="標楷體"/>
                <w:sz w:val="28"/>
              </w:rPr>
              <w:t>％</w:t>
            </w:r>
          </w:p>
        </w:tc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</w:p>
        </w:tc>
      </w:tr>
      <w:tr w:rsidR="004D1507" w:rsidTr="00EC3FCD">
        <w:trPr>
          <w:cantSplit/>
          <w:trHeight w:hRule="exact" w:val="60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超過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億元部分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0.5</w:t>
            </w:r>
            <w:r>
              <w:rPr>
                <w:rFonts w:eastAsia="標楷體"/>
                <w:sz w:val="28"/>
              </w:rPr>
              <w:t>％</w:t>
            </w:r>
          </w:p>
        </w:tc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507" w:rsidRDefault="004D1507" w:rsidP="00EC3FCD">
            <w:pPr>
              <w:snapToGrid w:val="0"/>
              <w:spacing w:before="113" w:after="113" w:line="500" w:lineRule="exact"/>
              <w:rPr>
                <w:rFonts w:eastAsia="標楷體"/>
                <w:sz w:val="28"/>
              </w:rPr>
            </w:pPr>
          </w:p>
        </w:tc>
      </w:tr>
    </w:tbl>
    <w:p w:rsidR="004D1507" w:rsidRDefault="004D1507" w:rsidP="00EC3FCD">
      <w:pPr>
        <w:spacing w:before="113" w:after="113"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（二）自辦規劃、設計、監造，其工程管理費提列百分比如下：</w:t>
      </w:r>
    </w:p>
    <w:p w:rsidR="004D1507" w:rsidRDefault="004D1507" w:rsidP="00EC3FCD">
      <w:pPr>
        <w:spacing w:before="113" w:after="113" w:line="500" w:lineRule="exact"/>
        <w:ind w:left="120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１．公有建築物工程：</w:t>
      </w:r>
    </w:p>
    <w:p w:rsidR="004D1507" w:rsidRDefault="004D1507" w:rsidP="00EC3FCD">
      <w:pPr>
        <w:spacing w:before="113" w:after="113" w:line="500" w:lineRule="exact"/>
        <w:ind w:left="2880"/>
        <w:rPr>
          <w:rFonts w:eastAsia="標楷體"/>
          <w:sz w:val="28"/>
        </w:rPr>
      </w:pPr>
      <w:r>
        <w:rPr>
          <w:rFonts w:eastAsia="標楷體"/>
          <w:sz w:val="28"/>
        </w:rPr>
        <w:t>依前表標準，再依「機關委託技術服務廠商評選及計費辦法」之「公有建築物工程技術服務建造費用百分比法」所定費率之</w:t>
      </w:r>
      <w:r>
        <w:rPr>
          <w:rFonts w:eastAsia="標楷體"/>
          <w:sz w:val="28"/>
        </w:rPr>
        <w:t>40%</w:t>
      </w:r>
      <w:r>
        <w:rPr>
          <w:rFonts w:eastAsia="標楷體"/>
          <w:sz w:val="28"/>
        </w:rPr>
        <w:t>，二者加總後，作為工程管理費之提列標準。</w:t>
      </w:r>
    </w:p>
    <w:p w:rsidR="004D1507" w:rsidRDefault="004D1507" w:rsidP="00EC3FCD">
      <w:pPr>
        <w:spacing w:before="113" w:after="113" w:line="500" w:lineRule="exact"/>
        <w:ind w:left="120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２．非建築物工程：</w:t>
      </w:r>
    </w:p>
    <w:p w:rsidR="004D1507" w:rsidRDefault="004D1507" w:rsidP="00EC3FCD">
      <w:pPr>
        <w:spacing w:before="113" w:after="113" w:line="500" w:lineRule="exact"/>
        <w:ind w:left="2880"/>
        <w:rPr>
          <w:rFonts w:eastAsia="標楷體"/>
          <w:sz w:val="28"/>
        </w:rPr>
      </w:pPr>
      <w:r>
        <w:rPr>
          <w:rFonts w:eastAsia="標楷體"/>
          <w:sz w:val="28"/>
        </w:rPr>
        <w:t>依前表標準，再依「機關委託技術服務廠商評選及計費辦法」之「非建築物工程技術服務建造費用百分比法」所定費率之</w:t>
      </w:r>
      <w:r>
        <w:rPr>
          <w:rFonts w:eastAsia="標楷體"/>
          <w:sz w:val="28"/>
        </w:rPr>
        <w:t>30%</w:t>
      </w:r>
      <w:r>
        <w:rPr>
          <w:rFonts w:eastAsia="標楷體"/>
          <w:sz w:val="28"/>
        </w:rPr>
        <w:t>，二者加總後，作為工程管理費之提列標準。</w:t>
      </w:r>
    </w:p>
    <w:p w:rsidR="004D1507" w:rsidRDefault="004D1507" w:rsidP="00EC3FCD">
      <w:pPr>
        <w:spacing w:before="113" w:after="113" w:line="500" w:lineRule="exact"/>
        <w:ind w:left="1260" w:hanging="12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五、工程管理費以各該工程之結算總價為計算標準。但不包括補償費、購地費、遷移費、測量費、鑽探費、水電外線補助費、營業稅、規費、法律費、承包商辦理工程之各項利息、保險費及規劃設計監造酬金等。</w:t>
      </w:r>
    </w:p>
    <w:p w:rsidR="004D1507" w:rsidRDefault="004D1507" w:rsidP="00EC3FCD">
      <w:pPr>
        <w:spacing w:before="113" w:after="113" w:line="500" w:lineRule="exact"/>
        <w:ind w:left="1260" w:hanging="12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六、工程委託專案管理時，其工程管理費應照第四條所定工程管理費之</w:t>
      </w:r>
      <w:r>
        <w:rPr>
          <w:rFonts w:eastAsia="標楷體"/>
          <w:sz w:val="28"/>
        </w:rPr>
        <w:t>70%</w:t>
      </w:r>
      <w:r>
        <w:rPr>
          <w:rFonts w:eastAsia="標楷體"/>
          <w:sz w:val="28"/>
        </w:rPr>
        <w:t>提列。</w:t>
      </w:r>
    </w:p>
    <w:p w:rsidR="004D1507" w:rsidRDefault="004D1507" w:rsidP="00EC3FCD">
      <w:pPr>
        <w:spacing w:before="113" w:after="113" w:line="500" w:lineRule="exact"/>
        <w:ind w:left="1260" w:hanging="1260"/>
        <w:rPr>
          <w:rFonts w:eastAsia="標楷體"/>
          <w:sz w:val="28"/>
        </w:rPr>
      </w:pPr>
      <w:r>
        <w:rPr>
          <w:sz w:val="28"/>
        </w:rPr>
        <w:t xml:space="preserve">　　</w:t>
      </w:r>
      <w:r>
        <w:rPr>
          <w:rFonts w:eastAsia="標楷體"/>
          <w:sz w:val="28"/>
        </w:rPr>
        <w:t>七、本要點自發佈日施行。</w:t>
      </w:r>
    </w:p>
    <w:sectPr w:rsidR="004D1507">
      <w:pgSz w:w="11906" w:h="16838"/>
      <w:pgMar w:top="567" w:right="567" w:bottom="244" w:left="56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C"/>
    <w:rsid w:val="001D3DE4"/>
    <w:rsid w:val="004D1507"/>
    <w:rsid w:val="005521EC"/>
    <w:rsid w:val="00EC3FCD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標楷體" w:eastAsia="標楷體" w:hAnsi="標楷體"/>
    </w:rPr>
  </w:style>
  <w:style w:type="character" w:customStyle="1" w:styleId="WW8Num2z0">
    <w:name w:val="WW8Num2z0"/>
    <w:rPr>
      <w:rFonts w:ascii="標楷體" w:eastAsia="標楷體" w:hAnsi="標楷體"/>
    </w:rPr>
  </w:style>
  <w:style w:type="character" w:customStyle="1" w:styleId="WW8Num3z0">
    <w:name w:val="WW8Num3z0"/>
    <w:rPr>
      <w:u w:val="none"/>
    </w:rPr>
  </w:style>
  <w:style w:type="character" w:customStyle="1" w:styleId="WW8Num6z0">
    <w:name w:val="WW8Num6z0"/>
    <w:rPr>
      <w:rFonts w:ascii="標楷體" w:eastAsia="標楷體" w:hAnsi="標楷體"/>
    </w:rPr>
  </w:style>
  <w:style w:type="character" w:customStyle="1" w:styleId="WW8Num7z0">
    <w:name w:val="WW8Num7z0"/>
    <w:rPr>
      <w:rFonts w:ascii="標楷體" w:eastAsia="標楷體" w:hAnsi="標楷體"/>
    </w:rPr>
  </w:style>
  <w:style w:type="character" w:customStyle="1" w:styleId="WW8Num8z0">
    <w:name w:val="WW8Num8z0"/>
    <w:rPr>
      <w:rFonts w:ascii="標楷體" w:eastAsia="標楷體" w:hAnsi="標楷體"/>
      <w:u w:val="none"/>
    </w:rPr>
  </w:style>
  <w:style w:type="character" w:customStyle="1" w:styleId="WW8Num9z0">
    <w:name w:val="WW8Num9z0"/>
    <w:rPr>
      <w:rFonts w:ascii="標楷體" w:eastAsia="標楷體" w:hAnsi="標楷體"/>
    </w:rPr>
  </w:style>
  <w:style w:type="character" w:customStyle="1" w:styleId="WW8Num11z0">
    <w:name w:val="WW8Num11z0"/>
    <w:rPr>
      <w:rFonts w:ascii="標楷體" w:eastAsia="標楷體" w:hAnsi="標楷體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9z0">
    <w:name w:val="WW8Num19z0"/>
    <w:rPr>
      <w:u w:val="none"/>
    </w:rPr>
  </w:style>
  <w:style w:type="character" w:styleId="a3">
    <w:name w:val="Default Paragraph Font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line="400" w:lineRule="exact"/>
    </w:pPr>
    <w:rPr>
      <w:rFonts w:ascii="標楷體" w:eastAsia="標楷體" w:hAnsi="標楷體"/>
      <w:sz w:val="32"/>
    </w:rPr>
  </w:style>
  <w:style w:type="paragraph" w:styleId="a6">
    <w:name w:val="List"/>
    <w:basedOn w:val="a5"/>
    <w:rPr>
      <w:rFonts w:cs="Tahoma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目錄"/>
    <w:basedOn w:val="a"/>
    <w:pPr>
      <w:suppressLineNumbers/>
    </w:pPr>
    <w:rPr>
      <w:rFonts w:cs="Tahoma"/>
    </w:rPr>
  </w:style>
  <w:style w:type="paragraph" w:styleId="3">
    <w:name w:val="Body Text Indent 3"/>
    <w:basedOn w:val="a"/>
    <w:pPr>
      <w:ind w:left="720" w:hanging="720"/>
    </w:pPr>
  </w:style>
  <w:style w:type="paragraph" w:customStyle="1" w:styleId="a9">
    <w:name w:val="說明"/>
    <w:basedOn w:val="a"/>
    <w:pPr>
      <w:spacing w:line="400" w:lineRule="exact"/>
      <w:ind w:left="415" w:hanging="415"/>
    </w:pPr>
    <w:rPr>
      <w:rFonts w:ascii="標楷體" w:eastAsia="標楷體" w:hAnsi="標楷體"/>
      <w:sz w:val="28"/>
    </w:rPr>
  </w:style>
  <w:style w:type="paragraph" w:customStyle="1" w:styleId="aa">
    <w:name w:val="項"/>
    <w:basedOn w:val="a"/>
    <w:pPr>
      <w:spacing w:line="400" w:lineRule="exact"/>
      <w:ind w:left="932" w:hanging="932"/>
    </w:pPr>
    <w:rPr>
      <w:rFonts w:ascii="標楷體" w:eastAsia="標楷體" w:hAnsi="標楷體"/>
      <w:sz w:val="32"/>
    </w:rPr>
  </w:style>
  <w:style w:type="paragraph" w:customStyle="1" w:styleId="ab">
    <w:name w:val="款"/>
    <w:basedOn w:val="a"/>
    <w:pPr>
      <w:spacing w:line="400" w:lineRule="exact"/>
      <w:ind w:left="1258" w:hanging="326"/>
    </w:pPr>
    <w:rPr>
      <w:rFonts w:eastAsia="標楷體"/>
      <w:sz w:val="32"/>
    </w:rPr>
  </w:style>
  <w:style w:type="paragraph" w:styleId="ac">
    <w:name w:val="Body Text Indent"/>
    <w:basedOn w:val="a"/>
    <w:pPr>
      <w:ind w:left="1052" w:hanging="36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400" w:lineRule="exact"/>
      <w:ind w:left="2012" w:hanging="960"/>
    </w:pPr>
    <w:rPr>
      <w:rFonts w:ascii="標楷體" w:eastAsia="標楷體" w:hAnsi="標楷體"/>
      <w:sz w:val="32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標楷體" w:eastAsia="標楷體" w:hAnsi="標楷體"/>
    </w:rPr>
  </w:style>
  <w:style w:type="character" w:customStyle="1" w:styleId="WW8Num2z0">
    <w:name w:val="WW8Num2z0"/>
    <w:rPr>
      <w:rFonts w:ascii="標楷體" w:eastAsia="標楷體" w:hAnsi="標楷體"/>
    </w:rPr>
  </w:style>
  <w:style w:type="character" w:customStyle="1" w:styleId="WW8Num3z0">
    <w:name w:val="WW8Num3z0"/>
    <w:rPr>
      <w:u w:val="none"/>
    </w:rPr>
  </w:style>
  <w:style w:type="character" w:customStyle="1" w:styleId="WW8Num6z0">
    <w:name w:val="WW8Num6z0"/>
    <w:rPr>
      <w:rFonts w:ascii="標楷體" w:eastAsia="標楷體" w:hAnsi="標楷體"/>
    </w:rPr>
  </w:style>
  <w:style w:type="character" w:customStyle="1" w:styleId="WW8Num7z0">
    <w:name w:val="WW8Num7z0"/>
    <w:rPr>
      <w:rFonts w:ascii="標楷體" w:eastAsia="標楷體" w:hAnsi="標楷體"/>
    </w:rPr>
  </w:style>
  <w:style w:type="character" w:customStyle="1" w:styleId="WW8Num8z0">
    <w:name w:val="WW8Num8z0"/>
    <w:rPr>
      <w:rFonts w:ascii="標楷體" w:eastAsia="標楷體" w:hAnsi="標楷體"/>
      <w:u w:val="none"/>
    </w:rPr>
  </w:style>
  <w:style w:type="character" w:customStyle="1" w:styleId="WW8Num9z0">
    <w:name w:val="WW8Num9z0"/>
    <w:rPr>
      <w:rFonts w:ascii="標楷體" w:eastAsia="標楷體" w:hAnsi="標楷體"/>
    </w:rPr>
  </w:style>
  <w:style w:type="character" w:customStyle="1" w:styleId="WW8Num11z0">
    <w:name w:val="WW8Num11z0"/>
    <w:rPr>
      <w:rFonts w:ascii="標楷體" w:eastAsia="標楷體" w:hAnsi="標楷體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9z0">
    <w:name w:val="WW8Num19z0"/>
    <w:rPr>
      <w:u w:val="none"/>
    </w:rPr>
  </w:style>
  <w:style w:type="character" w:styleId="a3">
    <w:name w:val="Default Paragraph Font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line="400" w:lineRule="exact"/>
    </w:pPr>
    <w:rPr>
      <w:rFonts w:ascii="標楷體" w:eastAsia="標楷體" w:hAnsi="標楷體"/>
      <w:sz w:val="32"/>
    </w:rPr>
  </w:style>
  <w:style w:type="paragraph" w:styleId="a6">
    <w:name w:val="List"/>
    <w:basedOn w:val="a5"/>
    <w:rPr>
      <w:rFonts w:cs="Tahoma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目錄"/>
    <w:basedOn w:val="a"/>
    <w:pPr>
      <w:suppressLineNumbers/>
    </w:pPr>
    <w:rPr>
      <w:rFonts w:cs="Tahoma"/>
    </w:rPr>
  </w:style>
  <w:style w:type="paragraph" w:styleId="3">
    <w:name w:val="Body Text Indent 3"/>
    <w:basedOn w:val="a"/>
    <w:pPr>
      <w:ind w:left="720" w:hanging="720"/>
    </w:pPr>
  </w:style>
  <w:style w:type="paragraph" w:customStyle="1" w:styleId="a9">
    <w:name w:val="說明"/>
    <w:basedOn w:val="a"/>
    <w:pPr>
      <w:spacing w:line="400" w:lineRule="exact"/>
      <w:ind w:left="415" w:hanging="415"/>
    </w:pPr>
    <w:rPr>
      <w:rFonts w:ascii="標楷體" w:eastAsia="標楷體" w:hAnsi="標楷體"/>
      <w:sz w:val="28"/>
    </w:rPr>
  </w:style>
  <w:style w:type="paragraph" w:customStyle="1" w:styleId="aa">
    <w:name w:val="項"/>
    <w:basedOn w:val="a"/>
    <w:pPr>
      <w:spacing w:line="400" w:lineRule="exact"/>
      <w:ind w:left="932" w:hanging="932"/>
    </w:pPr>
    <w:rPr>
      <w:rFonts w:ascii="標楷體" w:eastAsia="標楷體" w:hAnsi="標楷體"/>
      <w:sz w:val="32"/>
    </w:rPr>
  </w:style>
  <w:style w:type="paragraph" w:customStyle="1" w:styleId="ab">
    <w:name w:val="款"/>
    <w:basedOn w:val="a"/>
    <w:pPr>
      <w:spacing w:line="400" w:lineRule="exact"/>
      <w:ind w:left="1258" w:hanging="326"/>
    </w:pPr>
    <w:rPr>
      <w:rFonts w:eastAsia="標楷體"/>
      <w:sz w:val="32"/>
    </w:rPr>
  </w:style>
  <w:style w:type="paragraph" w:styleId="ac">
    <w:name w:val="Body Text Indent"/>
    <w:basedOn w:val="a"/>
    <w:pPr>
      <w:ind w:left="1052" w:hanging="36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400" w:lineRule="exact"/>
      <w:ind w:left="2012" w:hanging="960"/>
    </w:pPr>
    <w:rPr>
      <w:rFonts w:ascii="標楷體" w:eastAsia="標楷體" w:hAnsi="標楷體"/>
      <w:sz w:val="32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招標公告範本</dc:title>
  <dc:creator>Third-4</dc:creator>
  <cp:lastModifiedBy>netdox75v</cp:lastModifiedBy>
  <cp:revision>2</cp:revision>
  <cp:lastPrinted>2010-09-15T00:51:00Z</cp:lastPrinted>
  <dcterms:created xsi:type="dcterms:W3CDTF">2017-06-08T05:34:00Z</dcterms:created>
  <dcterms:modified xsi:type="dcterms:W3CDTF">2017-06-08T05:34:00Z</dcterms:modified>
</cp:coreProperties>
</file>