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C7" w:rsidRDefault="00C12D4D" w:rsidP="00C12D4D">
      <w:pPr>
        <w:jc w:val="center"/>
        <w:rPr>
          <w:rFonts w:ascii="標楷體" w:eastAsia="標楷體" w:hAnsi="標楷體" w:hint="eastAsia"/>
          <w:sz w:val="40"/>
        </w:rPr>
      </w:pPr>
      <w:bookmarkStart w:id="0" w:name="_GoBack"/>
      <w:bookmarkEnd w:id="0"/>
      <w:r w:rsidRPr="00C12D4D">
        <w:rPr>
          <w:rFonts w:ascii="標楷體" w:eastAsia="標楷體" w:hAnsi="標楷體" w:hint="eastAsia"/>
          <w:sz w:val="40"/>
        </w:rPr>
        <w:t>家用液化石油氣供氣定型化契約範本</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前言　本契約於中華民國</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年</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月</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日經甲方攜回審閱</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日（契約審閱期間至少三日）。</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乙方應於簽約前將契約內容交付甲方審閱，並為詳細說明。</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消費者：</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（以下簡稱甲方）</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瓦斯業者：</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（以下簡稱乙方）</w:t>
      </w:r>
    </w:p>
    <w:p w:rsid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因家用液化石油氣供氣事宜，雙方同意訂立本契約，以資共同遵守：</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第一條（</w:t>
      </w:r>
      <w:r w:rsidRPr="00017AE6">
        <w:rPr>
          <w:rFonts w:ascii="標楷體" w:eastAsia="標楷體" w:hAnsi="標楷體" w:hint="eastAsia"/>
          <w:sz w:val="28"/>
          <w:szCs w:val="28"/>
        </w:rPr>
        <w:t>瓦斯業者之責任</w:t>
      </w:r>
      <w:r w:rsidRPr="00C12D4D">
        <w:rPr>
          <w:rFonts w:ascii="標楷體" w:eastAsia="標楷體" w:hAnsi="標楷體" w:hint="eastAsia"/>
          <w:sz w:val="28"/>
          <w:szCs w:val="28"/>
        </w:rPr>
        <w:t>）</w:t>
      </w:r>
    </w:p>
    <w:p w:rsid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乙方販售之液化石油氣，其品質應符合國家標準，且重量應符合液化石油氣容器（以下簡稱容器）重量標示，並應投保公共意外責任險。</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第二條（供氣安全事項）</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乙方應將使用液化石油氣正確操作方法及應行注意安全事項，於供氣前以書面資料（如附件）告知甲方，甲方應遵照乙方所提供之操作方式及注意事項使用容器，並善盡容器保管責任。</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乙方提供甲方使用之容器，應經定期檢驗合格，不得提供逾期容器予甲方，並應確認容器、配件等（如符合國家標準之壓力調整器、閥、金屬管及橡膠軟管）之連接無洩漏情形。</w:t>
      </w:r>
    </w:p>
    <w:p w:rsid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乙方提供之容器，其下次檢驗日期與當次交易日期至少應有</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天以上（不得少於十天）之安全使用期限，以確保供氣期間中，容器係屬於有效期限內。</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第三條（</w:t>
      </w:r>
      <w:r w:rsidRPr="00017AE6">
        <w:rPr>
          <w:rFonts w:ascii="標楷體" w:eastAsia="標楷體" w:hAnsi="標楷體" w:hint="eastAsia"/>
          <w:sz w:val="28"/>
          <w:szCs w:val="28"/>
        </w:rPr>
        <w:t>瓦斯業者應揭示價格</w:t>
      </w:r>
      <w:r w:rsidRPr="00C12D4D">
        <w:rPr>
          <w:rFonts w:ascii="標楷體" w:eastAsia="標楷體" w:hAnsi="標楷體" w:hint="eastAsia"/>
          <w:sz w:val="28"/>
          <w:szCs w:val="28"/>
        </w:rPr>
        <w:t>）</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乙方應於營業場所明顯處，標示液化石油氣之價格（以下簡稱氣價），價格如有變動時，乙方應於送達前告知甲方。</w:t>
      </w:r>
    </w:p>
    <w:p w:rsid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甲方得於乙方交付液化石油氣前，對價格表示反對並終止本契約。但甲方未表示反對者，視同接受價格。</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第四條（</w:t>
      </w:r>
      <w:r w:rsidRPr="00017AE6">
        <w:rPr>
          <w:rFonts w:ascii="標楷體" w:eastAsia="標楷體" w:hAnsi="標楷體" w:hint="eastAsia"/>
          <w:sz w:val="28"/>
          <w:szCs w:val="28"/>
        </w:rPr>
        <w:t>容器所有權</w:t>
      </w:r>
      <w:r w:rsidRPr="00C12D4D">
        <w:rPr>
          <w:rFonts w:ascii="標楷體" w:eastAsia="標楷體" w:hAnsi="標楷體" w:hint="eastAsia"/>
          <w:sz w:val="28"/>
          <w:szCs w:val="28"/>
        </w:rPr>
        <w:t>）</w:t>
      </w:r>
    </w:p>
    <w:p w:rsid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乙方以容器灌裝液化石油氣販售予甲方，但其容器所有權歸屬乙</w:t>
      </w:r>
      <w:r w:rsidRPr="00C12D4D">
        <w:rPr>
          <w:rFonts w:ascii="標楷體" w:eastAsia="標楷體" w:hAnsi="標楷體" w:hint="eastAsia"/>
          <w:sz w:val="28"/>
          <w:szCs w:val="28"/>
        </w:rPr>
        <w:lastRenderedPageBreak/>
        <w:t>方。容器之保證金，依第五條規定處理。</w:t>
      </w:r>
    </w:p>
    <w:p w:rsidR="00C12D4D" w:rsidRDefault="00C12D4D" w:rsidP="00C12D4D">
      <w:pPr>
        <w:spacing w:line="480" w:lineRule="exact"/>
        <w:rPr>
          <w:rFonts w:ascii="標楷體" w:eastAsia="標楷體" w:hAnsi="標楷體" w:hint="eastAsia"/>
        </w:rPr>
      </w:pPr>
      <w:r w:rsidRPr="00C12D4D">
        <w:rPr>
          <w:rFonts w:ascii="標楷體" w:eastAsia="標楷體" w:hAnsi="標楷體" w:hint="eastAsia"/>
          <w:sz w:val="28"/>
          <w:szCs w:val="28"/>
        </w:rPr>
        <w:t>第五條（容器保證金）</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□簽訂本契約前，甲方已持有容器者，推定甲方已付訖</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公斤裝容器</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支，新台幣</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千</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百</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拾</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元整之保證金（容器每支不得低於三百元，但如有其他證明文件者應從其依據）。</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□簽定本契約時，茲乙方收訖甲方支付</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公斤裝容器</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支，共計新台幣</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千</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百</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拾</w:t>
      </w:r>
      <w:r w:rsidRPr="00C12D4D">
        <w:rPr>
          <w:rFonts w:ascii="標楷體" w:eastAsia="標楷體" w:hAnsi="標楷體" w:hint="eastAsia"/>
          <w:sz w:val="28"/>
          <w:szCs w:val="28"/>
          <w:u w:val="single"/>
        </w:rPr>
        <w:t xml:space="preserve">　</w:t>
      </w:r>
      <w:r w:rsidRPr="00C12D4D">
        <w:rPr>
          <w:rFonts w:ascii="標楷體" w:eastAsia="標楷體" w:hAnsi="標楷體" w:hint="eastAsia"/>
          <w:sz w:val="28"/>
          <w:szCs w:val="28"/>
        </w:rPr>
        <w:t>元整之保證金，但其金額不得超過簽約時新容器之售價。</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甲方簽章：</w:t>
      </w:r>
      <w:r w:rsidRPr="00C12D4D">
        <w:rPr>
          <w:rFonts w:ascii="標楷體" w:eastAsia="標楷體" w:hAnsi="標楷體" w:hint="eastAsia"/>
          <w:sz w:val="28"/>
          <w:szCs w:val="28"/>
          <w:u w:val="single"/>
        </w:rPr>
        <w:t xml:space="preserve">　　　　　　　　</w:t>
      </w:r>
    </w:p>
    <w:p w:rsidR="00C12D4D" w:rsidRDefault="00C12D4D" w:rsidP="00C12D4D">
      <w:pPr>
        <w:spacing w:line="480" w:lineRule="exact"/>
        <w:ind w:firstLineChars="200" w:firstLine="560"/>
        <w:rPr>
          <w:rFonts w:ascii="標楷體" w:eastAsia="標楷體" w:hAnsi="標楷體" w:hint="eastAsia"/>
          <w:sz w:val="28"/>
          <w:szCs w:val="28"/>
          <w:u w:val="single"/>
        </w:rPr>
      </w:pPr>
      <w:r w:rsidRPr="00C12D4D">
        <w:rPr>
          <w:rFonts w:ascii="標楷體" w:eastAsia="標楷體" w:hAnsi="標楷體" w:hint="eastAsia"/>
          <w:sz w:val="28"/>
          <w:szCs w:val="28"/>
        </w:rPr>
        <w:t>乙方簽章：</w:t>
      </w:r>
      <w:r w:rsidRPr="00C12D4D">
        <w:rPr>
          <w:rFonts w:ascii="標楷體" w:eastAsia="標楷體" w:hAnsi="標楷體" w:hint="eastAsia"/>
          <w:sz w:val="28"/>
          <w:szCs w:val="28"/>
          <w:u w:val="single"/>
        </w:rPr>
        <w:t xml:space="preserve">　　　　　　　　</w:t>
      </w:r>
    </w:p>
    <w:p w:rsidR="00C12D4D" w:rsidRDefault="00C12D4D" w:rsidP="00C12D4D">
      <w:pPr>
        <w:spacing w:line="480" w:lineRule="exact"/>
        <w:rPr>
          <w:rFonts w:ascii="標楷體" w:eastAsia="標楷體" w:hAnsi="標楷體" w:hint="eastAsia"/>
        </w:rPr>
      </w:pPr>
      <w:r w:rsidRPr="00C12D4D">
        <w:rPr>
          <w:rFonts w:ascii="標楷體" w:eastAsia="標楷體" w:hAnsi="標楷體" w:hint="eastAsia"/>
          <w:sz w:val="28"/>
          <w:szCs w:val="28"/>
        </w:rPr>
        <w:t>第六條（</w:t>
      </w:r>
      <w:r w:rsidRPr="00017AE6">
        <w:rPr>
          <w:rFonts w:ascii="標楷體" w:eastAsia="標楷體" w:hAnsi="標楷體" w:hint="eastAsia"/>
          <w:sz w:val="28"/>
          <w:szCs w:val="28"/>
        </w:rPr>
        <w:t>容器及其相關配件維護保養責任</w:t>
      </w:r>
      <w:r w:rsidRPr="00C12D4D">
        <w:rPr>
          <w:rFonts w:ascii="標楷體" w:eastAsia="標楷體" w:hAnsi="標楷體" w:hint="eastAsia"/>
          <w:sz w:val="28"/>
          <w:szCs w:val="28"/>
        </w:rPr>
        <w:t>）</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容器之購置、檢驗及相關維修等費用由乙方負擔。</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符合國家標準之壓力調整器、閥、金屬管及橡膠軟管等配件，如由乙方提供時，除另有約定外，甲方應支付該配件之費用，配件之所有權歸屬甲方。</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供氣期間甲方應善盡容器保管責任，並應確保合格標示卡完整，不得毀損。</w:t>
      </w:r>
    </w:p>
    <w:p w:rsidR="00C12D4D" w:rsidRDefault="00C12D4D" w:rsidP="00C12D4D">
      <w:pPr>
        <w:spacing w:line="480" w:lineRule="exact"/>
        <w:rPr>
          <w:rFonts w:ascii="標楷體" w:eastAsia="標楷體" w:hAnsi="標楷體" w:hint="eastAsia"/>
        </w:rPr>
      </w:pPr>
      <w:r w:rsidRPr="00C12D4D">
        <w:rPr>
          <w:rFonts w:ascii="標楷體" w:eastAsia="標楷體" w:hAnsi="標楷體" w:hint="eastAsia"/>
          <w:sz w:val="28"/>
          <w:szCs w:val="28"/>
        </w:rPr>
        <w:t>第七條（</w:t>
      </w:r>
      <w:r w:rsidRPr="00017AE6">
        <w:rPr>
          <w:rFonts w:ascii="標楷體" w:eastAsia="標楷體" w:hAnsi="標楷體" w:hint="eastAsia"/>
          <w:sz w:val="28"/>
          <w:szCs w:val="28"/>
        </w:rPr>
        <w:t>消費者延遲歸還容器之負擔</w:t>
      </w:r>
      <w:r w:rsidRPr="00C12D4D">
        <w:rPr>
          <w:rFonts w:ascii="標楷體" w:eastAsia="標楷體" w:hAnsi="標楷體" w:hint="eastAsia"/>
          <w:sz w:val="28"/>
          <w:szCs w:val="28"/>
        </w:rPr>
        <w:t>）</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甲方購買液化石油氣最後一次交易日期超過一年而未繼續使用，或因甲方改用其他燃料，未將容器即時歸還乙方，致容器檢驗有效期限超過一年以上者，該容器之最新一次定期檢驗費用，由甲方負擔，惟應先由所收之保證金中扣除，剩餘金額退還甲方。</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第八條（</w:t>
      </w:r>
      <w:r w:rsidRPr="00017AE6">
        <w:rPr>
          <w:rFonts w:ascii="標楷體" w:eastAsia="標楷體" w:hAnsi="標楷體" w:hint="eastAsia"/>
          <w:sz w:val="28"/>
          <w:szCs w:val="28"/>
        </w:rPr>
        <w:t>殘氣退還機制</w:t>
      </w:r>
      <w:r w:rsidRPr="00C12D4D">
        <w:rPr>
          <w:rFonts w:ascii="標楷體" w:eastAsia="標楷體" w:hAnsi="標楷體" w:hint="eastAsia"/>
          <w:sz w:val="28"/>
          <w:szCs w:val="28"/>
        </w:rPr>
        <w:t>）</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乙方回收容器時，應量秤容器內殘餘液化石油氣量，並以回收容器當日之交易價格，按比例退還甲方未使用之氣價。</w:t>
      </w:r>
    </w:p>
    <w:p w:rsidR="00C12D4D" w:rsidRPr="00C12D4D" w:rsidRDefault="00C12D4D" w:rsidP="00C12D4D">
      <w:pPr>
        <w:spacing w:line="480" w:lineRule="exact"/>
        <w:rPr>
          <w:rFonts w:ascii="標楷體" w:eastAsia="標楷體" w:hAnsi="標楷體" w:hint="eastAsia"/>
          <w:sz w:val="28"/>
          <w:szCs w:val="28"/>
        </w:rPr>
      </w:pPr>
      <w:r w:rsidRPr="00C12D4D">
        <w:rPr>
          <w:rFonts w:ascii="標楷體" w:eastAsia="標楷體" w:hAnsi="標楷體" w:hint="eastAsia"/>
          <w:sz w:val="28"/>
          <w:szCs w:val="28"/>
        </w:rPr>
        <w:t>第九條（</w:t>
      </w:r>
      <w:r w:rsidRPr="00017AE6">
        <w:rPr>
          <w:rFonts w:ascii="標楷體" w:eastAsia="標楷體" w:hAnsi="標楷體" w:hint="eastAsia"/>
          <w:sz w:val="28"/>
          <w:szCs w:val="28"/>
        </w:rPr>
        <w:t>契約終止</w:t>
      </w:r>
      <w:r w:rsidRPr="00C12D4D">
        <w:rPr>
          <w:rFonts w:ascii="標楷體" w:eastAsia="標楷體" w:hAnsi="標楷體" w:hint="eastAsia"/>
          <w:sz w:val="28"/>
          <w:szCs w:val="28"/>
        </w:rPr>
        <w:t>）</w:t>
      </w:r>
    </w:p>
    <w:p w:rsid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有下列第一款或第二款之情形者，乙方得終止契約；有下列第三款、第四款或第五款之情形者，甲方得終止契約。契約終止後，乙方應全額退還甲方保證金，甲方應歸還乙方容器：</w:t>
      </w:r>
    </w:p>
    <w:p w:rsidR="00C12D4D" w:rsidRPr="00C12D4D" w:rsidRDefault="00C12D4D" w:rsidP="00C12D4D">
      <w:pPr>
        <w:pStyle w:val="a4"/>
        <w:numPr>
          <w:ilvl w:val="0"/>
          <w:numId w:val="3"/>
        </w:numPr>
        <w:tabs>
          <w:tab w:val="num" w:pos="792"/>
        </w:tabs>
        <w:spacing w:line="480" w:lineRule="exact"/>
        <w:ind w:leftChars="0"/>
        <w:rPr>
          <w:rFonts w:ascii="標楷體" w:eastAsia="標楷體" w:hAnsi="標楷體" w:hint="eastAsia"/>
          <w:sz w:val="28"/>
          <w:szCs w:val="28"/>
        </w:rPr>
      </w:pPr>
      <w:r w:rsidRPr="00C12D4D">
        <w:rPr>
          <w:rFonts w:ascii="標楷體" w:eastAsia="標楷體" w:hAnsi="標楷體" w:hint="eastAsia"/>
          <w:sz w:val="28"/>
          <w:szCs w:val="28"/>
        </w:rPr>
        <w:lastRenderedPageBreak/>
        <w:t>甲方使用液化石油氣供熱水器等燃氣器具安裝場所不符安全規定，經乙方通知改善而拒不改善。</w:t>
      </w:r>
    </w:p>
    <w:p w:rsidR="00C12D4D" w:rsidRPr="00C12D4D" w:rsidRDefault="00C12D4D" w:rsidP="00C12D4D">
      <w:pPr>
        <w:pStyle w:val="a4"/>
        <w:numPr>
          <w:ilvl w:val="0"/>
          <w:numId w:val="3"/>
        </w:numPr>
        <w:tabs>
          <w:tab w:val="num" w:pos="792"/>
        </w:tabs>
        <w:spacing w:line="480" w:lineRule="exact"/>
        <w:ind w:leftChars="0"/>
        <w:rPr>
          <w:rFonts w:ascii="標楷體" w:eastAsia="標楷體" w:hAnsi="標楷體" w:hint="eastAsia"/>
          <w:sz w:val="28"/>
          <w:szCs w:val="28"/>
        </w:rPr>
      </w:pPr>
      <w:r w:rsidRPr="00C12D4D">
        <w:rPr>
          <w:rFonts w:ascii="標楷體" w:eastAsia="標楷體" w:hAnsi="標楷體" w:hint="eastAsia"/>
          <w:sz w:val="28"/>
          <w:szCs w:val="28"/>
        </w:rPr>
        <w:t>甲方經乙方通知限期繳納氣價或相關費用，逾期未繳納。</w:t>
      </w:r>
    </w:p>
    <w:p w:rsidR="00C12D4D" w:rsidRPr="00C12D4D" w:rsidRDefault="00C12D4D" w:rsidP="00C12D4D">
      <w:pPr>
        <w:pStyle w:val="a4"/>
        <w:numPr>
          <w:ilvl w:val="0"/>
          <w:numId w:val="3"/>
        </w:numPr>
        <w:tabs>
          <w:tab w:val="num" w:pos="792"/>
        </w:tabs>
        <w:spacing w:line="480" w:lineRule="exact"/>
        <w:ind w:leftChars="0"/>
        <w:rPr>
          <w:rFonts w:ascii="標楷體" w:eastAsia="標楷體" w:hAnsi="標楷體" w:hint="eastAsia"/>
          <w:sz w:val="28"/>
          <w:szCs w:val="28"/>
        </w:rPr>
      </w:pPr>
      <w:r w:rsidRPr="00C12D4D">
        <w:rPr>
          <w:rFonts w:ascii="標楷體" w:eastAsia="標楷體" w:hAnsi="標楷體" w:hint="eastAsia"/>
          <w:sz w:val="28"/>
          <w:szCs w:val="28"/>
        </w:rPr>
        <w:t>乙方提供逾期容器或違反第二條第三項規定。</w:t>
      </w:r>
    </w:p>
    <w:p w:rsidR="00C12D4D" w:rsidRPr="00C12D4D" w:rsidRDefault="00C12D4D" w:rsidP="00C12D4D">
      <w:pPr>
        <w:pStyle w:val="a4"/>
        <w:numPr>
          <w:ilvl w:val="0"/>
          <w:numId w:val="3"/>
        </w:numPr>
        <w:tabs>
          <w:tab w:val="num" w:pos="792"/>
        </w:tabs>
        <w:spacing w:line="480" w:lineRule="exact"/>
        <w:ind w:leftChars="0"/>
        <w:rPr>
          <w:rFonts w:ascii="標楷體" w:eastAsia="標楷體" w:hAnsi="標楷體" w:hint="eastAsia"/>
          <w:sz w:val="28"/>
          <w:szCs w:val="28"/>
        </w:rPr>
      </w:pPr>
      <w:r w:rsidRPr="00C12D4D">
        <w:rPr>
          <w:rFonts w:ascii="標楷體" w:eastAsia="標楷體" w:hAnsi="標楷體" w:hint="eastAsia"/>
          <w:sz w:val="28"/>
          <w:szCs w:val="28"/>
        </w:rPr>
        <w:t>乙方無正當理由延誤供氣達二小時以上。</w:t>
      </w:r>
    </w:p>
    <w:p w:rsidR="00C12D4D" w:rsidRPr="00C12D4D" w:rsidRDefault="00C12D4D" w:rsidP="003B662F">
      <w:pPr>
        <w:pStyle w:val="a4"/>
        <w:numPr>
          <w:ilvl w:val="0"/>
          <w:numId w:val="3"/>
        </w:numPr>
        <w:tabs>
          <w:tab w:val="num" w:pos="792"/>
        </w:tabs>
        <w:spacing w:line="480" w:lineRule="exact"/>
        <w:ind w:leftChars="0"/>
        <w:rPr>
          <w:rFonts w:ascii="標楷體" w:eastAsia="標楷體" w:hAnsi="標楷體" w:hint="eastAsia"/>
          <w:sz w:val="28"/>
          <w:szCs w:val="28"/>
        </w:rPr>
      </w:pPr>
      <w:r w:rsidRPr="00C12D4D">
        <w:rPr>
          <w:rFonts w:ascii="標楷體" w:eastAsia="標楷體" w:hAnsi="標楷體" w:hint="eastAsia"/>
          <w:sz w:val="28"/>
          <w:szCs w:val="28"/>
        </w:rPr>
        <w:t>乙方辦理停業、歇業而由其他公司行號頂讓或與其他公司行號合併，甲方不願由其存續或新設公司行號繼續供氣。</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第十條（</w:t>
      </w:r>
      <w:bookmarkStart w:id="1" w:name="OLE_LINK1"/>
      <w:bookmarkStart w:id="2" w:name="OLE_LINK2"/>
      <w:r w:rsidRPr="00017AE6">
        <w:rPr>
          <w:rFonts w:ascii="標楷體" w:eastAsia="標楷體" w:hAnsi="標楷體" w:hint="eastAsia"/>
          <w:sz w:val="28"/>
          <w:szCs w:val="28"/>
        </w:rPr>
        <w:t>瓦斯業者與消費者損害賠償責任關係</w:t>
      </w:r>
      <w:bookmarkEnd w:id="1"/>
      <w:bookmarkEnd w:id="2"/>
      <w:r w:rsidRPr="00C12D4D">
        <w:rPr>
          <w:rFonts w:ascii="標楷體" w:eastAsia="標楷體" w:hAnsi="標楷體" w:hint="eastAsia"/>
          <w:sz w:val="28"/>
          <w:szCs w:val="28"/>
        </w:rPr>
        <w:t>）</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乙方之受僱人未正確安裝容器或未告知甲方容器正確使用方法與危險事項，致甲方、同居人、共同生活人或使用人受損害者，乙方與該受僱人應連帶負賠償責任。</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甲方或其他使用人因過失而未依一般之使用方法使用容器，或未善盡容器保管責任，致容器毀損、變更或滅失者，甲方負損害賠償責任。</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第十一條（</w:t>
      </w:r>
      <w:r w:rsidRPr="00017AE6">
        <w:rPr>
          <w:rFonts w:ascii="標楷體" w:eastAsia="標楷體" w:hAnsi="標楷體" w:hint="eastAsia"/>
          <w:sz w:val="28"/>
          <w:szCs w:val="28"/>
        </w:rPr>
        <w:t>容器保證金退還方式</w:t>
      </w:r>
      <w:r w:rsidRPr="00C12D4D">
        <w:rPr>
          <w:rFonts w:ascii="標楷體" w:eastAsia="標楷體" w:hAnsi="標楷體" w:hint="eastAsia"/>
          <w:sz w:val="28"/>
          <w:szCs w:val="28"/>
        </w:rPr>
        <w:t>）</w:t>
      </w:r>
    </w:p>
    <w:p w:rsidR="00C12D4D" w:rsidRPr="00017AE6"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甲方不再繼續使用液化石油氣時，應將容器歸還乙方，乙方應將保證金全數無息退還予甲方，但甲方遺失容器或應歸還之容器非屬乙方所有者，不在此限。</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第十二條（</w:t>
      </w:r>
      <w:bookmarkStart w:id="3" w:name="OLE_LINK3"/>
      <w:bookmarkStart w:id="4" w:name="OLE_LINK4"/>
      <w:r w:rsidRPr="00017AE6">
        <w:rPr>
          <w:rFonts w:ascii="標楷體" w:eastAsia="標楷體" w:hAnsi="標楷體" w:hint="eastAsia"/>
          <w:sz w:val="28"/>
          <w:szCs w:val="28"/>
        </w:rPr>
        <w:t>契約權利義務轉移</w:t>
      </w:r>
      <w:bookmarkEnd w:id="3"/>
      <w:bookmarkEnd w:id="4"/>
      <w:r w:rsidRPr="00C12D4D">
        <w:rPr>
          <w:rFonts w:ascii="標楷體" w:eastAsia="標楷體" w:hAnsi="標楷體" w:hint="eastAsia"/>
          <w:sz w:val="28"/>
          <w:szCs w:val="28"/>
        </w:rPr>
        <w:t>）</w:t>
      </w:r>
    </w:p>
    <w:p w:rsidR="00C12D4D" w:rsidRPr="00C12D4D"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契約簽訂後，乙方如因停業或歇業而由其他公司行號頂讓者，乙方或頂讓者應通知甲方。甲方同意時，雙方權利義務則由存續公司行號概括承受。</w:t>
      </w:r>
    </w:p>
    <w:p w:rsidR="00C12D4D" w:rsidRPr="00017AE6" w:rsidRDefault="00C12D4D" w:rsidP="00C12D4D">
      <w:pPr>
        <w:spacing w:line="480" w:lineRule="exact"/>
        <w:ind w:firstLineChars="200" w:firstLine="560"/>
        <w:rPr>
          <w:rFonts w:ascii="標楷體" w:eastAsia="標楷體" w:hAnsi="標楷體" w:hint="eastAsia"/>
          <w:sz w:val="28"/>
          <w:szCs w:val="28"/>
        </w:rPr>
      </w:pPr>
      <w:r w:rsidRPr="00C12D4D">
        <w:rPr>
          <w:rFonts w:ascii="標楷體" w:eastAsia="標楷體" w:hAnsi="標楷體" w:hint="eastAsia"/>
          <w:sz w:val="28"/>
          <w:szCs w:val="28"/>
        </w:rPr>
        <w:t>前項規定，於乙方契約簽訂後有與其他公司行號合併之情事時，亦適用之。</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第十三條（資料保密義務）</w:t>
      </w:r>
    </w:p>
    <w:p w:rsidR="00C12D4D" w:rsidRPr="00017AE6" w:rsidRDefault="00C12D4D" w:rsidP="00017AE6">
      <w:pPr>
        <w:spacing w:line="480" w:lineRule="exact"/>
        <w:ind w:firstLineChars="200" w:firstLine="560"/>
        <w:rPr>
          <w:rFonts w:ascii="標楷體" w:eastAsia="標楷體" w:hAnsi="標楷體" w:hint="eastAsia"/>
          <w:sz w:val="28"/>
          <w:szCs w:val="28"/>
        </w:rPr>
      </w:pPr>
      <w:r w:rsidRPr="00017AE6">
        <w:rPr>
          <w:rFonts w:ascii="標楷體" w:eastAsia="標楷體" w:hAnsi="標楷體" w:hint="eastAsia"/>
          <w:sz w:val="28"/>
          <w:szCs w:val="28"/>
        </w:rPr>
        <w:t>乙方對甲方留存之個人資料負有保密義務，非經甲方書面同意，乙方不得對外揭露或為契約目的範圍外之利用，並應依相關法令之規定保護之。</w:t>
      </w:r>
    </w:p>
    <w:p w:rsidR="00C12D4D" w:rsidRPr="00017AE6" w:rsidRDefault="00C12D4D" w:rsidP="00017AE6">
      <w:pPr>
        <w:spacing w:line="480" w:lineRule="exact"/>
        <w:ind w:firstLineChars="200" w:firstLine="560"/>
        <w:rPr>
          <w:rFonts w:ascii="標楷體" w:eastAsia="標楷體" w:hAnsi="標楷體" w:hint="eastAsia"/>
          <w:sz w:val="28"/>
          <w:szCs w:val="28"/>
        </w:rPr>
      </w:pPr>
      <w:r w:rsidRPr="00017AE6">
        <w:rPr>
          <w:rFonts w:ascii="標楷體" w:eastAsia="標楷體" w:hAnsi="標楷體" w:hint="eastAsia"/>
          <w:sz w:val="28"/>
          <w:szCs w:val="28"/>
        </w:rPr>
        <w:t>前項資料於甲方不再使用乙方提供之液化石油氣後，乙方應返還或銷毀之。</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第十四條（涉訟管轄法院）</w:t>
      </w:r>
    </w:p>
    <w:p w:rsidR="00C12D4D" w:rsidRPr="00017AE6" w:rsidRDefault="00C12D4D" w:rsidP="00017AE6">
      <w:pPr>
        <w:spacing w:line="480" w:lineRule="exact"/>
        <w:ind w:firstLineChars="200" w:firstLine="560"/>
        <w:rPr>
          <w:rFonts w:ascii="標楷體" w:eastAsia="標楷體" w:hAnsi="標楷體" w:hint="eastAsia"/>
          <w:sz w:val="28"/>
          <w:szCs w:val="28"/>
        </w:rPr>
      </w:pPr>
      <w:r w:rsidRPr="00017AE6">
        <w:rPr>
          <w:rFonts w:ascii="標楷體" w:eastAsia="標楷體" w:hAnsi="標楷體" w:hint="eastAsia"/>
          <w:sz w:val="28"/>
          <w:szCs w:val="28"/>
        </w:rPr>
        <w:t>因本契約涉訟時，雙方合意以　地方法院為第一審管轄法院，但不排除消費者保護法第四十七條或民事訴訟法第四百三十六條之九小額訴訟管轄法院之適用。</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第十五條（未盡事宜之約定）</w:t>
      </w:r>
    </w:p>
    <w:p w:rsidR="00C12D4D" w:rsidRPr="00017AE6" w:rsidRDefault="00C12D4D" w:rsidP="00017AE6">
      <w:pPr>
        <w:spacing w:line="480" w:lineRule="exact"/>
        <w:ind w:firstLineChars="200" w:firstLine="560"/>
        <w:rPr>
          <w:rFonts w:ascii="標楷體" w:eastAsia="標楷體" w:hAnsi="標楷體" w:hint="eastAsia"/>
          <w:sz w:val="28"/>
          <w:szCs w:val="28"/>
        </w:rPr>
      </w:pPr>
      <w:r w:rsidRPr="00017AE6">
        <w:rPr>
          <w:rFonts w:ascii="標楷體" w:eastAsia="標楷體" w:hAnsi="標楷體" w:hint="eastAsia"/>
          <w:sz w:val="28"/>
          <w:szCs w:val="28"/>
        </w:rPr>
        <w:t>本契約未盡事宜，依相關法令、法理及誠信原則公平解決之。</w:t>
      </w:r>
    </w:p>
    <w:p w:rsidR="00C12D4D" w:rsidRPr="00C12D4D" w:rsidRDefault="00C12D4D" w:rsidP="00C12D4D">
      <w:pPr>
        <w:wordWrap w:val="0"/>
        <w:ind w:left="280" w:hangingChars="100" w:hanging="280"/>
        <w:jc w:val="both"/>
        <w:rPr>
          <w:rFonts w:ascii="標楷體" w:eastAsia="標楷體" w:hAnsi="標楷體" w:hint="eastAsia"/>
          <w:sz w:val="28"/>
          <w:szCs w:val="28"/>
        </w:rPr>
      </w:pPr>
      <w:r w:rsidRPr="00C12D4D">
        <w:rPr>
          <w:rFonts w:ascii="標楷體" w:eastAsia="標楷體" w:hAnsi="標楷體" w:hint="eastAsia"/>
          <w:sz w:val="28"/>
          <w:szCs w:val="28"/>
        </w:rPr>
        <w:t>第十六條（契約分存）</w:t>
      </w:r>
    </w:p>
    <w:p w:rsidR="00C12D4D" w:rsidRPr="00017AE6" w:rsidRDefault="00C12D4D" w:rsidP="00017AE6">
      <w:pPr>
        <w:spacing w:line="480" w:lineRule="exact"/>
        <w:ind w:firstLineChars="200" w:firstLine="560"/>
        <w:rPr>
          <w:rFonts w:ascii="標楷體" w:eastAsia="標楷體" w:hAnsi="標楷體" w:hint="eastAsia"/>
          <w:sz w:val="28"/>
          <w:szCs w:val="28"/>
        </w:rPr>
      </w:pPr>
      <w:r w:rsidRPr="00017AE6">
        <w:rPr>
          <w:rFonts w:ascii="標楷體" w:eastAsia="標楷體" w:hAnsi="標楷體" w:hint="eastAsia"/>
          <w:sz w:val="28"/>
          <w:szCs w:val="28"/>
        </w:rPr>
        <w:t>本契約正本一式二份，由甲方與乙方雙方各執一份為憑。</w:t>
      </w:r>
    </w:p>
    <w:p w:rsidR="00017AE6" w:rsidRDefault="00017AE6" w:rsidP="00017AE6">
      <w:pPr>
        <w:spacing w:line="480" w:lineRule="exact"/>
        <w:rPr>
          <w:rFonts w:ascii="標楷體" w:eastAsia="標楷體" w:hAnsi="標楷體" w:hint="eastAsia"/>
          <w:sz w:val="28"/>
          <w:szCs w:val="28"/>
        </w:rPr>
      </w:pPr>
    </w:p>
    <w:p w:rsidR="00017AE6" w:rsidRDefault="00017AE6" w:rsidP="00017AE6">
      <w:pPr>
        <w:spacing w:line="480" w:lineRule="exact"/>
        <w:rPr>
          <w:rFonts w:ascii="標楷體" w:eastAsia="標楷體" w:hAnsi="標楷體" w:hint="eastAsia"/>
          <w:sz w:val="28"/>
          <w:szCs w:val="28"/>
        </w:rPr>
      </w:pP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甲方</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姓名：</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地址：</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電話：</w:t>
      </w:r>
    </w:p>
    <w:p w:rsidR="00C12D4D" w:rsidRPr="00017AE6" w:rsidRDefault="00C12D4D" w:rsidP="00017AE6">
      <w:pPr>
        <w:spacing w:line="480" w:lineRule="exact"/>
        <w:rPr>
          <w:rFonts w:ascii="標楷體" w:eastAsia="標楷體" w:hAnsi="標楷體"/>
          <w:sz w:val="28"/>
          <w:szCs w:val="28"/>
        </w:rPr>
      </w:pPr>
      <w:r w:rsidRPr="00017AE6">
        <w:rPr>
          <w:rFonts w:ascii="標楷體" w:eastAsia="標楷體" w:hAnsi="標楷體" w:hint="eastAsia"/>
          <w:sz w:val="28"/>
          <w:szCs w:val="28"/>
        </w:rPr>
        <w:t>身分證字號：</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乙方</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公司（行號）名稱：</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統一編號：</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公會會員號碼：</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負責人：</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身分證字號：</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地址：</w:t>
      </w:r>
    </w:p>
    <w:p w:rsidR="00C12D4D" w:rsidRPr="00017AE6" w:rsidRDefault="00C12D4D" w:rsidP="00017AE6">
      <w:pPr>
        <w:spacing w:line="480" w:lineRule="exact"/>
        <w:rPr>
          <w:rFonts w:ascii="標楷體" w:eastAsia="標楷體" w:hAnsi="標楷體" w:hint="eastAsia"/>
          <w:sz w:val="28"/>
          <w:szCs w:val="28"/>
        </w:rPr>
      </w:pPr>
      <w:r w:rsidRPr="00017AE6">
        <w:rPr>
          <w:rFonts w:ascii="標楷體" w:eastAsia="標楷體" w:hAnsi="標楷體" w:hint="eastAsia"/>
          <w:sz w:val="28"/>
          <w:szCs w:val="28"/>
        </w:rPr>
        <w:t>電話：</w:t>
      </w:r>
    </w:p>
    <w:p w:rsidR="00C12D4D" w:rsidRPr="00017AE6" w:rsidRDefault="00C12D4D" w:rsidP="00C12D4D">
      <w:pPr>
        <w:spacing w:line="480" w:lineRule="exact"/>
        <w:rPr>
          <w:rFonts w:ascii="標楷體" w:eastAsia="標楷體" w:hAnsi="標楷體"/>
          <w:sz w:val="28"/>
          <w:szCs w:val="28"/>
        </w:rPr>
      </w:pPr>
      <w:r w:rsidRPr="00017AE6">
        <w:rPr>
          <w:rFonts w:ascii="標楷體" w:eastAsia="標楷體" w:hAnsi="標楷體" w:hint="eastAsia"/>
          <w:sz w:val="28"/>
          <w:szCs w:val="28"/>
        </w:rPr>
        <w:t>中華民國　　　年　　　月　　　日</w:t>
      </w:r>
    </w:p>
    <w:sectPr w:rsidR="00C12D4D" w:rsidRPr="00017A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7713"/>
    <w:multiLevelType w:val="hybridMultilevel"/>
    <w:tmpl w:val="3FCCDC5A"/>
    <w:lvl w:ilvl="0" w:tplc="2BDAD12A">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4024D87"/>
    <w:multiLevelType w:val="hybridMultilevel"/>
    <w:tmpl w:val="1172C6AE"/>
    <w:lvl w:ilvl="0" w:tplc="5AB44406">
      <w:start w:val="1"/>
      <w:numFmt w:val="taiwaneseCountingThousand"/>
      <w:lvlText w:val="%1、"/>
      <w:lvlJc w:val="left"/>
      <w:pPr>
        <w:ind w:left="1282" w:hanging="72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
    <w:nsid w:val="7B4678A3"/>
    <w:multiLevelType w:val="hybridMultilevel"/>
    <w:tmpl w:val="BE58D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4D"/>
    <w:rsid w:val="00017AE6"/>
    <w:rsid w:val="003648C7"/>
    <w:rsid w:val="003B0956"/>
    <w:rsid w:val="003B662F"/>
    <w:rsid w:val="00C12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D4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2D4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D4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2D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吳克輝</dc:creator>
  <cp:lastModifiedBy>netdox75v</cp:lastModifiedBy>
  <cp:revision>2</cp:revision>
  <dcterms:created xsi:type="dcterms:W3CDTF">2017-06-08T05:22:00Z</dcterms:created>
  <dcterms:modified xsi:type="dcterms:W3CDTF">2017-06-08T05:22:00Z</dcterms:modified>
</cp:coreProperties>
</file>