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1" w:rsidRDefault="00B67CF5" w:rsidP="00AC3BE8">
      <w:pPr>
        <w:jc w:val="center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</w:rPr>
        <w:t>連江縣縣有財產管理檢核要點</w:t>
      </w:r>
    </w:p>
    <w:p w:rsidR="005D4DCE" w:rsidRPr="00AC3BE8" w:rsidRDefault="00AC3BE8" w:rsidP="00AC3BE8">
      <w:pPr>
        <w:spacing w:beforeLines="50" w:before="120" w:line="400" w:lineRule="exact"/>
        <w:rPr>
          <w:rFonts w:ascii="標楷體" w:eastAsia="標楷體" w:hAnsi="標楷體"/>
          <w:bCs/>
          <w:sz w:val="22"/>
          <w:szCs w:val="22"/>
        </w:rPr>
      </w:pPr>
      <w:r w:rsidRPr="00AC3BE8">
        <w:rPr>
          <w:rFonts w:ascii="標楷體" w:eastAsia="標楷體" w:hAnsi="標楷體" w:hint="eastAsia"/>
          <w:bCs/>
          <w:sz w:val="22"/>
          <w:szCs w:val="22"/>
        </w:rPr>
        <w:t>中華民國92年7月7日連財產字</w:t>
      </w:r>
      <w:proofErr w:type="gramStart"/>
      <w:r w:rsidRPr="00AC3BE8">
        <w:rPr>
          <w:rFonts w:ascii="標楷體" w:eastAsia="標楷體" w:hAnsi="標楷體" w:hint="eastAsia"/>
          <w:bCs/>
          <w:sz w:val="22"/>
          <w:szCs w:val="22"/>
        </w:rPr>
        <w:t>第0920017756號函訂定</w:t>
      </w:r>
      <w:proofErr w:type="gramEnd"/>
    </w:p>
    <w:p w:rsidR="005D4DCE" w:rsidRPr="00AC3BE8" w:rsidRDefault="005D4DCE" w:rsidP="00AC3BE8">
      <w:pPr>
        <w:spacing w:line="400" w:lineRule="exact"/>
        <w:rPr>
          <w:rFonts w:ascii="標楷體" w:eastAsia="標楷體" w:hAnsi="標楷體"/>
          <w:bCs/>
          <w:sz w:val="22"/>
          <w:szCs w:val="22"/>
        </w:rPr>
      </w:pPr>
      <w:r w:rsidRPr="00AC3BE8">
        <w:rPr>
          <w:rFonts w:ascii="標楷體" w:eastAsia="標楷體" w:hAnsi="標楷體" w:hint="eastAsia"/>
          <w:bCs/>
          <w:sz w:val="22"/>
          <w:szCs w:val="22"/>
        </w:rPr>
        <w:t>中華民國108年4月29日</w:t>
      </w:r>
      <w:proofErr w:type="gramStart"/>
      <w:r w:rsidRPr="00AC3BE8">
        <w:rPr>
          <w:rFonts w:ascii="標楷體" w:eastAsia="標楷體" w:hAnsi="標楷體" w:hint="eastAsia"/>
          <w:bCs/>
          <w:sz w:val="22"/>
          <w:szCs w:val="22"/>
        </w:rPr>
        <w:t>府授財字</w:t>
      </w:r>
      <w:proofErr w:type="gramEnd"/>
      <w:r w:rsidRPr="00AC3BE8">
        <w:rPr>
          <w:rFonts w:ascii="標楷體" w:eastAsia="標楷體" w:hAnsi="標楷體" w:hint="eastAsia"/>
          <w:bCs/>
          <w:sz w:val="22"/>
          <w:szCs w:val="22"/>
        </w:rPr>
        <w:t>第1080014492號函修訂</w:t>
      </w:r>
    </w:p>
    <w:p w:rsidR="005D4DCE" w:rsidRPr="005D4DCE" w:rsidRDefault="005D4DCE">
      <w:pPr>
        <w:rPr>
          <w:rFonts w:ascii="標楷體" w:eastAsia="標楷體" w:hAnsi="標楷體" w:hint="eastAsia"/>
          <w:b/>
          <w:bCs/>
          <w:sz w:val="40"/>
        </w:rPr>
      </w:pPr>
    </w:p>
    <w:p w:rsidR="00920591" w:rsidRDefault="00B67CF5">
      <w:pPr>
        <w:numPr>
          <w:ilvl w:val="0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依據：</w:t>
      </w:r>
    </w:p>
    <w:p w:rsidR="00920591" w:rsidRDefault="00A57D19" w:rsidP="00A57D19">
      <w:pPr>
        <w:ind w:leftChars="177" w:left="425" w:firstLineChars="16" w:firstLine="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為執行連江縣縣有財產管理自治條例第六十七條規定，落實財產管理，特訂定本要點。</w:t>
      </w:r>
    </w:p>
    <w:p w:rsidR="00920591" w:rsidRDefault="00B67CF5">
      <w:pPr>
        <w:numPr>
          <w:ilvl w:val="0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</w:t>
      </w:r>
    </w:p>
    <w:p w:rsidR="0087374C" w:rsidRPr="00F44B13" w:rsidRDefault="0087374C" w:rsidP="002A5DDE">
      <w:pPr>
        <w:pStyle w:val="a5"/>
        <w:numPr>
          <w:ilvl w:val="0"/>
          <w:numId w:val="4"/>
        </w:numPr>
        <w:spacing w:line="0" w:lineRule="atLeast"/>
        <w:ind w:leftChars="100" w:left="1200" w:hangingChars="300" w:hanging="960"/>
        <w:jc w:val="both"/>
      </w:pPr>
      <w:r w:rsidRPr="00F44B13">
        <w:rPr>
          <w:rFonts w:hint="eastAsia"/>
        </w:rPr>
        <w:t>瞭解各財產管理機關（單位）對於連江縣政府（以下簡稱本府）縣有財產之保管、使用、維護及收益情形。</w:t>
      </w:r>
    </w:p>
    <w:p w:rsidR="0087374C" w:rsidRPr="00F44B13" w:rsidRDefault="000666FF" w:rsidP="002A5DDE">
      <w:pPr>
        <w:pStyle w:val="a5"/>
        <w:numPr>
          <w:ilvl w:val="0"/>
          <w:numId w:val="4"/>
        </w:numPr>
        <w:spacing w:line="0" w:lineRule="atLeast"/>
        <w:ind w:leftChars="100" w:left="1200" w:hangingChars="300" w:hanging="960"/>
        <w:jc w:val="both"/>
      </w:pPr>
      <w:r w:rsidRPr="00F44B13">
        <w:rPr>
          <w:rFonts w:hint="eastAsia"/>
        </w:rPr>
        <w:t>瞭解各財產管理機關（單位）經管財產有無被占用、閒置及其處理情形。</w:t>
      </w:r>
    </w:p>
    <w:p w:rsidR="000666FF" w:rsidRPr="00F44B13" w:rsidRDefault="00196FC8" w:rsidP="002A5DDE">
      <w:pPr>
        <w:pStyle w:val="a5"/>
        <w:numPr>
          <w:ilvl w:val="0"/>
          <w:numId w:val="4"/>
        </w:numPr>
        <w:spacing w:line="0" w:lineRule="atLeast"/>
        <w:ind w:leftChars="100" w:left="1200" w:hangingChars="300" w:hanging="960"/>
        <w:jc w:val="both"/>
      </w:pPr>
      <w:r w:rsidRPr="00F44B13">
        <w:rPr>
          <w:rFonts w:hint="eastAsia"/>
        </w:rPr>
        <w:t>加強各財產管理機關（單位）對於財產之有效管理及規劃運用。</w:t>
      </w:r>
    </w:p>
    <w:p w:rsidR="00920591" w:rsidRDefault="008F57A4">
      <w:pPr>
        <w:numPr>
          <w:ilvl w:val="0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實施對象</w:t>
      </w:r>
      <w:r w:rsidR="00B67CF5">
        <w:rPr>
          <w:rFonts w:ascii="標楷體" w:eastAsia="標楷體" w:hAnsi="標楷體" w:hint="eastAsia"/>
          <w:sz w:val="32"/>
        </w:rPr>
        <w:t>：（經管縣有財產單位）</w:t>
      </w:r>
    </w:p>
    <w:p w:rsidR="00920591" w:rsidRDefault="00B67CF5">
      <w:pPr>
        <w:ind w:left="73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縣議會、本府各單位及所屬、附屬各機關、學校</w:t>
      </w:r>
      <w:r w:rsidRPr="00F91508">
        <w:rPr>
          <w:rFonts w:ascii="標楷體" w:eastAsia="標楷體" w:hAnsi="標楷體" w:hint="eastAsia"/>
          <w:color w:val="000000"/>
          <w:sz w:val="32"/>
        </w:rPr>
        <w:t>、事業機構</w:t>
      </w:r>
      <w:r>
        <w:rPr>
          <w:rFonts w:ascii="標楷體" w:eastAsia="標楷體" w:hAnsi="標楷體" w:hint="eastAsia"/>
          <w:sz w:val="32"/>
        </w:rPr>
        <w:t>。</w:t>
      </w:r>
    </w:p>
    <w:p w:rsidR="00920591" w:rsidRDefault="00B67CF5">
      <w:pPr>
        <w:numPr>
          <w:ilvl w:val="0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範圍：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一、土地及土地</w:t>
      </w:r>
      <w:proofErr w:type="gramStart"/>
      <w:r>
        <w:rPr>
          <w:rFonts w:ascii="標楷體" w:eastAsia="標楷體" w:hAnsi="標楷體" w:hint="eastAsia"/>
          <w:sz w:val="32"/>
        </w:rPr>
        <w:t>改良物類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二、房屋建築及設備類。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三、機械及設備類。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四、交通及運輸設備類。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五、雜項設備類。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六、物品類。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七、有價證券及他項權利類。</w:t>
      </w:r>
    </w:p>
    <w:p w:rsidR="00920591" w:rsidRDefault="00B67CF5">
      <w:pPr>
        <w:numPr>
          <w:ilvl w:val="0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檢核項目：</w:t>
      </w:r>
    </w:p>
    <w:p w:rsidR="00920591" w:rsidRDefault="00B67CF5">
      <w:pPr>
        <w:ind w:left="73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</w:t>
      </w:r>
      <w:r w:rsidR="006F6558" w:rsidRPr="00F91508">
        <w:rPr>
          <w:rFonts w:ascii="標楷體" w:eastAsia="標楷體" w:hAnsi="標楷體" w:hint="eastAsia"/>
          <w:color w:val="000000"/>
          <w:sz w:val="32"/>
        </w:rPr>
        <w:t>財政稅務局</w:t>
      </w:r>
      <w:r>
        <w:rPr>
          <w:rFonts w:ascii="標楷體" w:eastAsia="標楷體" w:hAnsi="標楷體" w:hint="eastAsia"/>
          <w:sz w:val="32"/>
        </w:rPr>
        <w:t>每年應定期辦理</w:t>
      </w:r>
      <w:r w:rsidR="00C61219">
        <w:rPr>
          <w:rFonts w:ascii="標楷體" w:eastAsia="標楷體" w:hAnsi="標楷體" w:hint="eastAsia"/>
          <w:sz w:val="32"/>
        </w:rPr>
        <w:t>全縣各機關</w:t>
      </w:r>
      <w:r w:rsidR="00A57D19">
        <w:rPr>
          <w:rFonts w:ascii="標楷體" w:eastAsia="標楷體" w:hAnsi="標楷體" w:hint="eastAsia"/>
          <w:sz w:val="32"/>
        </w:rPr>
        <w:t>及本府各單位（以下統稱單位）</w:t>
      </w:r>
      <w:r>
        <w:rPr>
          <w:rFonts w:ascii="標楷體" w:eastAsia="標楷體" w:hAnsi="標楷體" w:hint="eastAsia"/>
          <w:sz w:val="32"/>
        </w:rPr>
        <w:t>財產管理檢</w:t>
      </w:r>
      <w:r w:rsidR="00A57D19">
        <w:rPr>
          <w:rFonts w:ascii="標楷體" w:eastAsia="標楷體" w:hAnsi="標楷體" w:hint="eastAsia"/>
          <w:sz w:val="32"/>
        </w:rPr>
        <w:t>核評比，受檢核單位應依「連江縣縣有財產管理情形檢核表」（如附件一</w:t>
      </w:r>
      <w:r w:rsidR="008F57A4">
        <w:rPr>
          <w:rFonts w:ascii="標楷體" w:eastAsia="標楷體" w:hAnsi="標楷體" w:hint="eastAsia"/>
          <w:sz w:val="32"/>
        </w:rPr>
        <w:t>）先自行依檢核表及</w:t>
      </w:r>
      <w:proofErr w:type="gramStart"/>
      <w:r w:rsidR="008F57A4">
        <w:rPr>
          <w:rFonts w:ascii="標楷體" w:eastAsia="標楷體" w:hAnsi="標楷體" w:hint="eastAsia"/>
          <w:sz w:val="32"/>
        </w:rPr>
        <w:t>相關子項辦理</w:t>
      </w:r>
      <w:proofErr w:type="gramEnd"/>
      <w:r w:rsidR="008F57A4">
        <w:rPr>
          <w:rFonts w:ascii="標楷體" w:eastAsia="標楷體" w:hAnsi="標楷體" w:hint="eastAsia"/>
          <w:sz w:val="32"/>
        </w:rPr>
        <w:t>初檢，並</w:t>
      </w:r>
      <w:r>
        <w:rPr>
          <w:rFonts w:ascii="標楷體" w:eastAsia="標楷體" w:hAnsi="標楷體" w:hint="eastAsia"/>
          <w:sz w:val="32"/>
        </w:rPr>
        <w:t>提供檢核資料（如附件</w:t>
      </w:r>
      <w:r w:rsidR="00A57D19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）配合辦理，本府應將檢核評比小組人員及日程表行文受檢</w:t>
      </w:r>
      <w:r w:rsidR="00A57D19">
        <w:rPr>
          <w:rFonts w:ascii="標楷體" w:eastAsia="標楷體" w:hAnsi="標楷體" w:hint="eastAsia"/>
          <w:sz w:val="32"/>
        </w:rPr>
        <w:t>機關</w:t>
      </w:r>
      <w:r>
        <w:rPr>
          <w:rFonts w:ascii="標楷體" w:eastAsia="標楷體" w:hAnsi="標楷體" w:hint="eastAsia"/>
          <w:sz w:val="32"/>
        </w:rPr>
        <w:t>單位。</w:t>
      </w:r>
    </w:p>
    <w:p w:rsidR="00920591" w:rsidRDefault="00B67CF5">
      <w:pPr>
        <w:numPr>
          <w:ilvl w:val="0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檢核程序：</w:t>
      </w:r>
    </w:p>
    <w:p w:rsidR="00920591" w:rsidRDefault="00B67CF5">
      <w:pPr>
        <w:ind w:left="1120" w:hangingChars="350" w:hanging="11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>一、各受檢單位應依據本要點所訂檢核項目先行自行清查盤點。</w:t>
      </w:r>
    </w:p>
    <w:p w:rsidR="00920591" w:rsidRDefault="00B67CF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>二、各實施單位應由財產、會計部門組成清查小組：</w:t>
      </w:r>
    </w:p>
    <w:p w:rsidR="00920591" w:rsidRDefault="008F57A4">
      <w:pPr>
        <w:numPr>
          <w:ilvl w:val="0"/>
          <w:numId w:val="2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先核對帳列之</w:t>
      </w:r>
      <w:r w:rsidR="00B67CF5">
        <w:rPr>
          <w:rFonts w:ascii="標楷體" w:eastAsia="標楷體" w:hAnsi="標楷體" w:hint="eastAsia"/>
          <w:sz w:val="32"/>
        </w:rPr>
        <w:t>量值：</w:t>
      </w:r>
    </w:p>
    <w:p w:rsidR="00920591" w:rsidRDefault="00B67CF5">
      <w:pPr>
        <w:ind w:left="4280" w:hanging="351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 xml:space="preserve">     </w:t>
      </w:r>
      <w:r>
        <w:rPr>
          <w:rFonts w:ascii="標楷體" w:eastAsia="標楷體" w:hAnsi="標楷體" w:hint="eastAsia"/>
          <w:sz w:val="32"/>
        </w:rPr>
        <w:t>１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公務預算單位：會計部門財產統制帳，應與財產部門分類量值統計表或結存表列數相符。</w:t>
      </w:r>
    </w:p>
    <w:p w:rsidR="00920591" w:rsidRDefault="00B67CF5">
      <w:pPr>
        <w:ind w:left="4280" w:hanging="351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t>２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事業預算單位：其會計部門之固定資產表，應與財產部門之財產分類量值統計表或結存表列數相符。</w:t>
      </w:r>
    </w:p>
    <w:p w:rsidR="00920591" w:rsidRDefault="008F57A4">
      <w:pPr>
        <w:numPr>
          <w:ilvl w:val="0"/>
          <w:numId w:val="2"/>
        </w:num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帳列</w:t>
      </w:r>
      <w:r w:rsidR="00B67CF5">
        <w:rPr>
          <w:rFonts w:ascii="標楷體" w:eastAsia="標楷體" w:hAnsi="標楷體" w:hint="eastAsia"/>
          <w:sz w:val="32"/>
        </w:rPr>
        <w:t>量值</w:t>
      </w:r>
      <w:proofErr w:type="gramEnd"/>
      <w:r w:rsidR="00B67CF5">
        <w:rPr>
          <w:rFonts w:ascii="標楷體" w:eastAsia="標楷體" w:hAnsi="標楷體" w:hint="eastAsia"/>
          <w:sz w:val="32"/>
        </w:rPr>
        <w:t>核對完成：</w:t>
      </w:r>
      <w:proofErr w:type="gramStart"/>
      <w:r w:rsidR="00B67CF5">
        <w:rPr>
          <w:rFonts w:ascii="標楷體" w:eastAsia="標楷體" w:hAnsi="標楷體" w:hint="eastAsia"/>
          <w:sz w:val="32"/>
        </w:rPr>
        <w:t>即分按財產</w:t>
      </w:r>
      <w:proofErr w:type="gramEnd"/>
      <w:r w:rsidR="00B67CF5">
        <w:rPr>
          <w:rFonts w:ascii="標楷體" w:eastAsia="標楷體" w:hAnsi="標楷體" w:hint="eastAsia"/>
          <w:sz w:val="32"/>
        </w:rPr>
        <w:t>明細</w:t>
      </w:r>
      <w:proofErr w:type="gramStart"/>
      <w:r w:rsidR="00B67CF5">
        <w:rPr>
          <w:rFonts w:ascii="標楷體" w:eastAsia="標楷體" w:hAnsi="標楷體" w:hint="eastAsia"/>
          <w:sz w:val="32"/>
        </w:rPr>
        <w:t>分類帳</w:t>
      </w:r>
      <w:proofErr w:type="gramEnd"/>
      <w:r w:rsidR="00B67CF5">
        <w:rPr>
          <w:rFonts w:ascii="標楷體" w:eastAsia="標楷體" w:hAnsi="標楷體" w:hint="eastAsia"/>
          <w:sz w:val="32"/>
        </w:rPr>
        <w:t>或財產分類卡與各單位所使用之實際財物切實清查，並分類分批一一盤點；遇有盈虧，應查明原因，分別填</w:t>
      </w:r>
      <w:proofErr w:type="gramStart"/>
      <w:r w:rsidR="00B67CF5">
        <w:rPr>
          <w:rFonts w:ascii="標楷體" w:eastAsia="標楷體" w:hAnsi="標楷體" w:hint="eastAsia"/>
          <w:sz w:val="32"/>
        </w:rPr>
        <w:t>註</w:t>
      </w:r>
      <w:proofErr w:type="gramEnd"/>
      <w:r w:rsidR="00B67CF5">
        <w:rPr>
          <w:rFonts w:ascii="標楷體" w:eastAsia="標楷體" w:hAnsi="標楷體" w:hint="eastAsia"/>
          <w:sz w:val="32"/>
        </w:rPr>
        <w:t>以憑處理。</w:t>
      </w:r>
    </w:p>
    <w:p w:rsidR="00920591" w:rsidRDefault="00B67CF5">
      <w:pPr>
        <w:pStyle w:val="2"/>
        <w:ind w:left="1190"/>
      </w:pPr>
      <w:r>
        <w:rPr>
          <w:rFonts w:hint="eastAsia"/>
        </w:rPr>
        <w:t>三、本府</w:t>
      </w:r>
      <w:r w:rsidR="00746873" w:rsidRPr="00F91508">
        <w:rPr>
          <w:rFonts w:hint="eastAsia"/>
          <w:color w:val="000000"/>
        </w:rPr>
        <w:t>財政稅務局</w:t>
      </w:r>
      <w:r>
        <w:rPr>
          <w:rFonts w:hint="eastAsia"/>
        </w:rPr>
        <w:t>於實施財產管理檢核工作時，應依前</w:t>
      </w:r>
      <w:r w:rsidR="008F57A4">
        <w:rPr>
          <w:rFonts w:hint="eastAsia"/>
        </w:rPr>
        <w:t>點</w:t>
      </w:r>
      <w:r>
        <w:rPr>
          <w:rFonts w:hint="eastAsia"/>
        </w:rPr>
        <w:t>之</w:t>
      </w:r>
      <w:proofErr w:type="gramStart"/>
      <w:r>
        <w:rPr>
          <w:rFonts w:hint="eastAsia"/>
        </w:rPr>
        <w:t>檢核表逐項</w:t>
      </w:r>
      <w:proofErr w:type="gramEnd"/>
      <w:r>
        <w:rPr>
          <w:rFonts w:hint="eastAsia"/>
        </w:rPr>
        <w:t>檢核，檢核人員簽章後，並請受檢單位主辦財產管理人員、財產主管、會計人員及</w:t>
      </w:r>
      <w:r w:rsidR="008F57A4">
        <w:rPr>
          <w:rFonts w:hint="eastAsia"/>
        </w:rPr>
        <w:t>單位主管</w:t>
      </w:r>
      <w:r>
        <w:rPr>
          <w:rFonts w:hint="eastAsia"/>
        </w:rPr>
        <w:t>逐一簽章。考評成效由</w:t>
      </w:r>
      <w:r w:rsidR="00746873" w:rsidRPr="00F91508">
        <w:rPr>
          <w:rFonts w:hint="eastAsia"/>
          <w:color w:val="000000"/>
        </w:rPr>
        <w:t>財政稅務局</w:t>
      </w:r>
      <w:r>
        <w:rPr>
          <w:rFonts w:hint="eastAsia"/>
        </w:rPr>
        <w:t>彙總後簽報縣長核定獎懲。</w:t>
      </w:r>
    </w:p>
    <w:p w:rsidR="00920591" w:rsidRDefault="00B67CF5">
      <w:p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柒</w:t>
      </w:r>
      <w:proofErr w:type="gramEnd"/>
      <w:r>
        <w:rPr>
          <w:rFonts w:ascii="標楷體" w:eastAsia="標楷體" w:hAnsi="標楷體" w:hint="eastAsia"/>
          <w:sz w:val="32"/>
        </w:rPr>
        <w:t>、成效考核：</w:t>
      </w:r>
    </w:p>
    <w:p w:rsidR="00920591" w:rsidRDefault="00B67CF5">
      <w:pPr>
        <w:numPr>
          <w:ilvl w:val="1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考列甲等（八十分以上）機關，財產及會計經辦人員記功一次，業務主管人員嘉獎二次。</w:t>
      </w:r>
    </w:p>
    <w:p w:rsidR="00920591" w:rsidRDefault="00B67CF5">
      <w:pPr>
        <w:numPr>
          <w:ilvl w:val="1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考列乙等（七十分以上未滿八十分）機關，財產及會計及業務主管各嘉獎一次。</w:t>
      </w:r>
    </w:p>
    <w:p w:rsidR="00920591" w:rsidRDefault="00B67CF5">
      <w:pPr>
        <w:numPr>
          <w:ilvl w:val="1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考列丙等（六十分以上未滿七十分）機關，不予獎懲。</w:t>
      </w:r>
    </w:p>
    <w:p w:rsidR="00920591" w:rsidRDefault="00B67CF5">
      <w:pPr>
        <w:numPr>
          <w:ilvl w:val="1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考列丁等（未滿六十分）機關，財產及會計、業務主管人員各申誡一次。</w:t>
      </w:r>
    </w:p>
    <w:p w:rsidR="00AC4E54" w:rsidRPr="00A400DC" w:rsidRDefault="00BD26CA" w:rsidP="005A2F43">
      <w:pPr>
        <w:pStyle w:val="ac"/>
        <w:spacing w:line="0" w:lineRule="atLeast"/>
        <w:ind w:leftChars="173" w:left="421" w:hangingChars="2" w:hanging="6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經考列前項第一、二款</w:t>
      </w:r>
      <w:r w:rsidR="00AC4E54" w:rsidRPr="00A400DC">
        <w:rPr>
          <w:rFonts w:ascii="標楷體" w:eastAsia="標楷體" w:hAnsi="標楷體" w:hint="eastAsia"/>
          <w:sz w:val="32"/>
        </w:rPr>
        <w:t>但有下列情形之</w:t>
      </w:r>
      <w:proofErr w:type="gramStart"/>
      <w:r w:rsidR="00AC4E54" w:rsidRPr="00A400DC">
        <w:rPr>
          <w:rFonts w:ascii="標楷體" w:eastAsia="標楷體" w:hAnsi="標楷體" w:hint="eastAsia"/>
          <w:sz w:val="32"/>
        </w:rPr>
        <w:t>一</w:t>
      </w:r>
      <w:proofErr w:type="gramEnd"/>
      <w:r w:rsidR="00AC4E54" w:rsidRPr="00A400DC">
        <w:rPr>
          <w:rFonts w:ascii="標楷體" w:eastAsia="標楷體" w:hAnsi="標楷體" w:hint="eastAsia"/>
          <w:sz w:val="32"/>
        </w:rPr>
        <w:t>者，不得</w:t>
      </w:r>
      <w:r w:rsidRPr="00A400DC">
        <w:rPr>
          <w:rFonts w:ascii="標楷體" w:eastAsia="標楷體" w:hAnsi="標楷體" w:hint="eastAsia"/>
          <w:sz w:val="32"/>
        </w:rPr>
        <w:t>予以敍</w:t>
      </w:r>
      <w:r w:rsidR="00AC4E54" w:rsidRPr="00A400DC">
        <w:rPr>
          <w:rFonts w:ascii="標楷體" w:eastAsia="標楷體" w:hAnsi="標楷體" w:hint="eastAsia"/>
          <w:sz w:val="32"/>
        </w:rPr>
        <w:t>獎：</w:t>
      </w:r>
    </w:p>
    <w:p w:rsidR="00AC4E54" w:rsidRPr="00A400DC" w:rsidRDefault="00A400DC" w:rsidP="00B679C4">
      <w:pPr>
        <w:pStyle w:val="ac"/>
        <w:spacing w:line="0" w:lineRule="atLeast"/>
        <w:ind w:leftChars="300" w:left="1274" w:hangingChars="173" w:hanging="554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1</w:t>
      </w:r>
      <w:r w:rsidR="00AC4E54" w:rsidRPr="00A400DC">
        <w:rPr>
          <w:rFonts w:ascii="標楷體" w:eastAsia="標楷體" w:hAnsi="標楷體" w:hint="eastAsia"/>
          <w:sz w:val="32"/>
        </w:rPr>
        <w:t>、</w:t>
      </w:r>
      <w:r w:rsidR="00AC4E54" w:rsidRPr="00A400DC">
        <w:rPr>
          <w:rFonts w:ascii="標楷體" w:eastAsia="標楷體" w:hAnsi="標楷體"/>
          <w:sz w:val="32"/>
        </w:rPr>
        <w:t>各類財產報表未於規定期限內（</w:t>
      </w:r>
      <w:r w:rsidR="00AC4E54" w:rsidRPr="00A400DC">
        <w:rPr>
          <w:rFonts w:ascii="標楷體" w:eastAsia="標楷體" w:hAnsi="標楷體" w:hint="eastAsia"/>
          <w:sz w:val="32"/>
        </w:rPr>
        <w:t>每年一月十五日及七月十五日前</w:t>
      </w:r>
      <w:r w:rsidR="00AC4E54" w:rsidRPr="00A400DC">
        <w:rPr>
          <w:rFonts w:ascii="標楷體" w:eastAsia="標楷體" w:hAnsi="標楷體"/>
          <w:sz w:val="32"/>
        </w:rPr>
        <w:t>）填送。</w:t>
      </w:r>
    </w:p>
    <w:p w:rsidR="00AC4E54" w:rsidRPr="00A400DC" w:rsidRDefault="00A400DC" w:rsidP="00AC4E54">
      <w:pPr>
        <w:pStyle w:val="ac"/>
        <w:spacing w:line="0" w:lineRule="atLeast"/>
        <w:ind w:leftChars="0" w:left="720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2</w:t>
      </w:r>
      <w:r w:rsidR="00AC4E54" w:rsidRPr="00A400DC">
        <w:rPr>
          <w:rFonts w:ascii="標楷體" w:eastAsia="標楷體" w:hAnsi="標楷體" w:hint="eastAsia"/>
          <w:sz w:val="32"/>
        </w:rPr>
        <w:t>、</w:t>
      </w:r>
      <w:r w:rsidR="00AC4E54" w:rsidRPr="00A400DC">
        <w:rPr>
          <w:rFonts w:ascii="標楷體" w:eastAsia="標楷體" w:hAnsi="標楷體"/>
          <w:sz w:val="32"/>
        </w:rPr>
        <w:t>財產帳、卡、物不符者。</w:t>
      </w:r>
    </w:p>
    <w:p w:rsidR="00AC4E54" w:rsidRPr="00A400DC" w:rsidRDefault="00A400DC" w:rsidP="00AC4E54">
      <w:pPr>
        <w:pStyle w:val="ac"/>
        <w:spacing w:line="0" w:lineRule="atLeast"/>
        <w:ind w:leftChars="0" w:left="720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3</w:t>
      </w:r>
      <w:r w:rsidR="00AC4E54" w:rsidRPr="00A400DC">
        <w:rPr>
          <w:rFonts w:ascii="標楷體" w:eastAsia="標楷體" w:hAnsi="標楷體" w:hint="eastAsia"/>
          <w:sz w:val="32"/>
        </w:rPr>
        <w:t>、</w:t>
      </w:r>
      <w:r w:rsidR="00AC4E54" w:rsidRPr="00A400DC">
        <w:rPr>
          <w:rFonts w:ascii="標楷體" w:eastAsia="標楷體" w:hAnsi="標楷體"/>
          <w:sz w:val="32"/>
        </w:rPr>
        <w:t>年度內未依規定辦理盤點或盤點績效</w:t>
      </w:r>
      <w:proofErr w:type="gramStart"/>
      <w:r w:rsidR="00AC4E54" w:rsidRPr="00A400DC">
        <w:rPr>
          <w:rFonts w:ascii="標楷體" w:eastAsia="標楷體" w:hAnsi="標楷體"/>
          <w:sz w:val="32"/>
        </w:rPr>
        <w:t>不彰者</w:t>
      </w:r>
      <w:proofErr w:type="gramEnd"/>
      <w:r w:rsidR="00AC4E54" w:rsidRPr="00A400DC">
        <w:rPr>
          <w:rFonts w:ascii="標楷體" w:eastAsia="標楷體" w:hAnsi="標楷體"/>
          <w:sz w:val="32"/>
        </w:rPr>
        <w:t>。</w:t>
      </w:r>
    </w:p>
    <w:p w:rsidR="00AC4E54" w:rsidRPr="00A400DC" w:rsidRDefault="00A400DC" w:rsidP="00AC4E54">
      <w:pPr>
        <w:pStyle w:val="ac"/>
        <w:spacing w:line="0" w:lineRule="atLeast"/>
        <w:ind w:leftChars="0" w:left="720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4</w:t>
      </w:r>
      <w:r w:rsidR="00AC4E54" w:rsidRPr="00A400DC">
        <w:rPr>
          <w:rFonts w:ascii="標楷體" w:eastAsia="標楷體" w:hAnsi="標楷體" w:hint="eastAsia"/>
          <w:sz w:val="32"/>
        </w:rPr>
        <w:t>、</w:t>
      </w:r>
      <w:r w:rsidR="00AC4E54" w:rsidRPr="00A400DC">
        <w:rPr>
          <w:rFonts w:ascii="標楷體" w:eastAsia="標楷體" w:hAnsi="標楷體"/>
          <w:sz w:val="32"/>
        </w:rPr>
        <w:t>因管理不當，致發生人為意外事故者。</w:t>
      </w:r>
    </w:p>
    <w:p w:rsidR="00AC4E54" w:rsidRPr="00A400DC" w:rsidRDefault="00A400DC" w:rsidP="00B679C4">
      <w:pPr>
        <w:pStyle w:val="ac"/>
        <w:spacing w:line="0" w:lineRule="atLeast"/>
        <w:ind w:leftChars="299" w:left="1272" w:hangingChars="173" w:hanging="554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5</w:t>
      </w:r>
      <w:r w:rsidR="00AC4E54" w:rsidRPr="00A400DC">
        <w:rPr>
          <w:rFonts w:ascii="標楷體" w:eastAsia="標楷體" w:hAnsi="標楷體" w:hint="eastAsia"/>
          <w:sz w:val="32"/>
        </w:rPr>
        <w:t>、</w:t>
      </w:r>
      <w:r w:rsidR="00AC4E54" w:rsidRPr="00A400DC">
        <w:rPr>
          <w:rFonts w:ascii="標楷體" w:eastAsia="標楷體" w:hAnsi="標楷體"/>
          <w:sz w:val="32"/>
        </w:rPr>
        <w:t>發生意外事故予以隱匿或無特殊原因，逾三個月報廢（損）</w:t>
      </w:r>
      <w:proofErr w:type="gramStart"/>
      <w:r w:rsidR="00AC4E54" w:rsidRPr="00A400DC">
        <w:rPr>
          <w:rFonts w:ascii="標楷體" w:eastAsia="標楷體" w:hAnsi="標楷體" w:hint="eastAsia"/>
          <w:sz w:val="32"/>
        </w:rPr>
        <w:t>期</w:t>
      </w:r>
      <w:r w:rsidR="00AC4E54" w:rsidRPr="00A400DC">
        <w:rPr>
          <w:rFonts w:ascii="標楷體" w:eastAsia="標楷體" w:hAnsi="標楷體"/>
          <w:sz w:val="32"/>
        </w:rPr>
        <w:t>限始辦手續</w:t>
      </w:r>
      <w:proofErr w:type="gramEnd"/>
      <w:r w:rsidR="00AC4E54" w:rsidRPr="00A400DC">
        <w:rPr>
          <w:rFonts w:ascii="標楷體" w:eastAsia="標楷體" w:hAnsi="標楷體"/>
          <w:sz w:val="32"/>
        </w:rPr>
        <w:t>者。</w:t>
      </w:r>
    </w:p>
    <w:p w:rsidR="00AC4E54" w:rsidRPr="00C004B7" w:rsidRDefault="00A400DC" w:rsidP="00AC4E54">
      <w:pPr>
        <w:pStyle w:val="ac"/>
        <w:spacing w:line="0" w:lineRule="atLeast"/>
        <w:ind w:leftChars="0" w:left="720"/>
        <w:jc w:val="both"/>
        <w:rPr>
          <w:rFonts w:ascii="標楷體" w:eastAsia="標楷體" w:hAnsi="標楷體"/>
          <w:sz w:val="32"/>
        </w:rPr>
      </w:pPr>
      <w:r w:rsidRPr="00A400DC">
        <w:rPr>
          <w:rFonts w:ascii="標楷體" w:eastAsia="標楷體" w:hAnsi="標楷體" w:hint="eastAsia"/>
          <w:sz w:val="32"/>
        </w:rPr>
        <w:t>6</w:t>
      </w:r>
      <w:r w:rsidR="00AC4E54" w:rsidRPr="00A400DC">
        <w:rPr>
          <w:rFonts w:ascii="標楷體" w:eastAsia="標楷體" w:hAnsi="標楷體" w:hint="eastAsia"/>
          <w:sz w:val="32"/>
        </w:rPr>
        <w:t>、發現被占用未積極清理或</w:t>
      </w:r>
      <w:r w:rsidR="00AC4E54" w:rsidRPr="00A400DC">
        <w:rPr>
          <w:rFonts w:ascii="標楷體" w:eastAsia="標楷體" w:hAnsi="標楷體"/>
          <w:sz w:val="32"/>
        </w:rPr>
        <w:t>予以隱匿。</w:t>
      </w:r>
    </w:p>
    <w:p w:rsidR="00920591" w:rsidRDefault="00B67CF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捌、附則：</w:t>
      </w:r>
    </w:p>
    <w:p w:rsidR="00920591" w:rsidRDefault="00B67CF5">
      <w:pPr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一、本要點奉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縣長核定後實施，修正時亦同。</w:t>
      </w:r>
    </w:p>
    <w:p w:rsidR="00920591" w:rsidRDefault="008C6BDC" w:rsidP="00B90352">
      <w:pPr>
        <w:ind w:leftChars="200" w:left="1120" w:hangingChars="20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二、各鄉公所經管使用之縣</w:t>
      </w:r>
      <w:r w:rsidR="00E708F9">
        <w:rPr>
          <w:rFonts w:ascii="標楷體" w:eastAsia="標楷體" w:hAnsi="標楷體" w:hint="eastAsia"/>
          <w:sz w:val="32"/>
        </w:rPr>
        <w:t>有財產得自行比照本計畫辦理</w:t>
      </w:r>
      <w:r>
        <w:rPr>
          <w:rFonts w:ascii="標楷體" w:eastAsia="標楷體" w:hAnsi="標楷體" w:hint="eastAsia"/>
          <w:sz w:val="32"/>
        </w:rPr>
        <w:t>。</w:t>
      </w:r>
    </w:p>
    <w:sectPr w:rsidR="00920591">
      <w:footerReference w:type="even" r:id="rId9"/>
      <w:footerReference w:type="default" r:id="rId10"/>
      <w:pgSz w:w="11906" w:h="16838"/>
      <w:pgMar w:top="567" w:right="746" w:bottom="1440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4D" w:rsidRDefault="0020274D">
      <w:r>
        <w:separator/>
      </w:r>
    </w:p>
  </w:endnote>
  <w:endnote w:type="continuationSeparator" w:id="0">
    <w:p w:rsidR="0020274D" w:rsidRDefault="0020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1" w:rsidRDefault="00B67CF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0591" w:rsidRDefault="009205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1" w:rsidRDefault="00B67CF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FDD">
      <w:rPr>
        <w:rStyle w:val="ab"/>
        <w:noProof/>
      </w:rPr>
      <w:t>1</w:t>
    </w:r>
    <w:r>
      <w:rPr>
        <w:rStyle w:val="ab"/>
      </w:rPr>
      <w:fldChar w:fldCharType="end"/>
    </w:r>
  </w:p>
  <w:p w:rsidR="00920591" w:rsidRDefault="009205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4D" w:rsidRDefault="0020274D">
      <w:r>
        <w:separator/>
      </w:r>
    </w:p>
  </w:footnote>
  <w:footnote w:type="continuationSeparator" w:id="0">
    <w:p w:rsidR="0020274D" w:rsidRDefault="0020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647"/>
    <w:multiLevelType w:val="hybridMultilevel"/>
    <w:tmpl w:val="56403044"/>
    <w:lvl w:ilvl="0" w:tplc="1B803C66">
      <w:start w:val="1"/>
      <w:numFmt w:val="taiwaneseCountingThousand"/>
      <w:lvlText w:val="%1、"/>
      <w:lvlJc w:val="left"/>
      <w:pPr>
        <w:ind w:left="1217" w:hanging="480"/>
      </w:pPr>
      <w:rPr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">
    <w:nsid w:val="2C597CF9"/>
    <w:multiLevelType w:val="multilevel"/>
    <w:tmpl w:val="2C597CF9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left" w:pos="1200"/>
        </w:tabs>
        <w:ind w:left="120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2">
    <w:nsid w:val="462B3001"/>
    <w:multiLevelType w:val="hybridMultilevel"/>
    <w:tmpl w:val="BAD27F6E"/>
    <w:lvl w:ilvl="0" w:tplc="3BB28B22">
      <w:start w:val="1"/>
      <w:numFmt w:val="taiwaneseCountingThousand"/>
      <w:lvlText w:val="%1、"/>
      <w:lvlJc w:val="left"/>
      <w:pPr>
        <w:ind w:left="1217" w:hanging="480"/>
      </w:pPr>
      <w:rPr>
        <w:strike w:val="0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>
    <w:nsid w:val="5EB5039D"/>
    <w:multiLevelType w:val="multilevel"/>
    <w:tmpl w:val="5EB5039D"/>
    <w:lvl w:ilvl="0">
      <w:start w:val="1"/>
      <w:numFmt w:val="taiwaneseCountingThousand"/>
      <w:lvlText w:val="（%1）"/>
      <w:lvlJc w:val="left"/>
      <w:pPr>
        <w:tabs>
          <w:tab w:val="left" w:pos="1845"/>
        </w:tabs>
        <w:ind w:left="1845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left" w:pos="1725"/>
        </w:tabs>
        <w:ind w:left="172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05"/>
        </w:tabs>
        <w:ind w:left="220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685"/>
        </w:tabs>
        <w:ind w:left="268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3165"/>
        </w:tabs>
        <w:ind w:left="316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45"/>
        </w:tabs>
        <w:ind w:left="364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125"/>
        </w:tabs>
        <w:ind w:left="412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4605"/>
        </w:tabs>
        <w:ind w:left="460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085"/>
        </w:tabs>
        <w:ind w:left="5085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D"/>
    <w:rsid w:val="00020F70"/>
    <w:rsid w:val="00053C16"/>
    <w:rsid w:val="000666FF"/>
    <w:rsid w:val="0011049B"/>
    <w:rsid w:val="001306FF"/>
    <w:rsid w:val="00156605"/>
    <w:rsid w:val="0017503A"/>
    <w:rsid w:val="00196FC8"/>
    <w:rsid w:val="001A0595"/>
    <w:rsid w:val="001E1B05"/>
    <w:rsid w:val="0020274D"/>
    <w:rsid w:val="002A5DDE"/>
    <w:rsid w:val="002B292A"/>
    <w:rsid w:val="002C3EE9"/>
    <w:rsid w:val="002D62B3"/>
    <w:rsid w:val="002D66A8"/>
    <w:rsid w:val="002F7384"/>
    <w:rsid w:val="00324E35"/>
    <w:rsid w:val="00382CA8"/>
    <w:rsid w:val="004331D1"/>
    <w:rsid w:val="004A19F6"/>
    <w:rsid w:val="004B70CC"/>
    <w:rsid w:val="004D2F96"/>
    <w:rsid w:val="00545C52"/>
    <w:rsid w:val="005A2F43"/>
    <w:rsid w:val="005D4DCE"/>
    <w:rsid w:val="006427A9"/>
    <w:rsid w:val="006F6558"/>
    <w:rsid w:val="00717C84"/>
    <w:rsid w:val="00746873"/>
    <w:rsid w:val="007622D3"/>
    <w:rsid w:val="007C6FDD"/>
    <w:rsid w:val="00800BCF"/>
    <w:rsid w:val="008031FD"/>
    <w:rsid w:val="0081247E"/>
    <w:rsid w:val="0081529B"/>
    <w:rsid w:val="008160BB"/>
    <w:rsid w:val="008432F0"/>
    <w:rsid w:val="0087374C"/>
    <w:rsid w:val="00875216"/>
    <w:rsid w:val="0088209F"/>
    <w:rsid w:val="008C29C9"/>
    <w:rsid w:val="008C6BDC"/>
    <w:rsid w:val="008F57A4"/>
    <w:rsid w:val="008F691A"/>
    <w:rsid w:val="00915686"/>
    <w:rsid w:val="00920591"/>
    <w:rsid w:val="00935CB3"/>
    <w:rsid w:val="00942683"/>
    <w:rsid w:val="00963AC3"/>
    <w:rsid w:val="00971AC6"/>
    <w:rsid w:val="00992536"/>
    <w:rsid w:val="009B0AC7"/>
    <w:rsid w:val="00A054F9"/>
    <w:rsid w:val="00A400DC"/>
    <w:rsid w:val="00A51DE3"/>
    <w:rsid w:val="00A57D19"/>
    <w:rsid w:val="00A74AC1"/>
    <w:rsid w:val="00A9116C"/>
    <w:rsid w:val="00AA3E46"/>
    <w:rsid w:val="00AC3BE8"/>
    <w:rsid w:val="00AC4E54"/>
    <w:rsid w:val="00AD0302"/>
    <w:rsid w:val="00B12DCE"/>
    <w:rsid w:val="00B330F1"/>
    <w:rsid w:val="00B567D3"/>
    <w:rsid w:val="00B679C4"/>
    <w:rsid w:val="00B67CF5"/>
    <w:rsid w:val="00B90352"/>
    <w:rsid w:val="00BD26CA"/>
    <w:rsid w:val="00BD5CB3"/>
    <w:rsid w:val="00C004B7"/>
    <w:rsid w:val="00C0297E"/>
    <w:rsid w:val="00C0662E"/>
    <w:rsid w:val="00C61219"/>
    <w:rsid w:val="00C85FA6"/>
    <w:rsid w:val="00C87304"/>
    <w:rsid w:val="00D5688C"/>
    <w:rsid w:val="00D627D7"/>
    <w:rsid w:val="00D868BE"/>
    <w:rsid w:val="00E068A9"/>
    <w:rsid w:val="00E36EDD"/>
    <w:rsid w:val="00E501A0"/>
    <w:rsid w:val="00E51312"/>
    <w:rsid w:val="00E61C5D"/>
    <w:rsid w:val="00E708F9"/>
    <w:rsid w:val="00E87585"/>
    <w:rsid w:val="00E9080D"/>
    <w:rsid w:val="00F20166"/>
    <w:rsid w:val="00F40DCE"/>
    <w:rsid w:val="00F44B13"/>
    <w:rsid w:val="00F47F0A"/>
    <w:rsid w:val="00F67B68"/>
    <w:rsid w:val="00F74177"/>
    <w:rsid w:val="00F76BC5"/>
    <w:rsid w:val="00F91508"/>
    <w:rsid w:val="00F9200E"/>
    <w:rsid w:val="00FD53B5"/>
    <w:rsid w:val="00FD7499"/>
    <w:rsid w:val="127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link w:val="a6"/>
    <w:uiPriority w:val="99"/>
    <w:pPr>
      <w:ind w:left="737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link w:val="20"/>
    <w:uiPriority w:val="99"/>
    <w:pPr>
      <w:ind w:left="1247" w:hanging="680"/>
    </w:pPr>
    <w:rPr>
      <w:rFonts w:ascii="標楷體" w:eastAsia="標楷體" w:hAnsi="標楷體"/>
      <w:sz w:val="3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uiPriority w:val="99"/>
    <w:rPr>
      <w:rFonts w:cs="Times New Roman"/>
    </w:rPr>
  </w:style>
  <w:style w:type="character" w:customStyle="1" w:styleId="a6">
    <w:name w:val="本文縮排 字元"/>
    <w:link w:val="a5"/>
    <w:uiPriority w:val="99"/>
    <w:semiHidden/>
    <w:rPr>
      <w:kern w:val="0"/>
      <w:szCs w:val="24"/>
    </w:rPr>
  </w:style>
  <w:style w:type="character" w:customStyle="1" w:styleId="20">
    <w:name w:val="本文縮排 2 字元"/>
    <w:link w:val="2"/>
    <w:uiPriority w:val="99"/>
    <w:semiHidden/>
    <w:rPr>
      <w:kern w:val="0"/>
      <w:szCs w:val="24"/>
    </w:rPr>
  </w:style>
  <w:style w:type="character" w:customStyle="1" w:styleId="a4">
    <w:name w:val="註解方塊文字 字元"/>
    <w:link w:val="a3"/>
    <w:uiPriority w:val="99"/>
    <w:semiHidden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8">
    <w:name w:val="頁尾 字元"/>
    <w:link w:val="a7"/>
    <w:uiPriority w:val="99"/>
    <w:semiHidden/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locked/>
    <w:rPr>
      <w:rFonts w:cs="Times New Roman"/>
    </w:rPr>
  </w:style>
  <w:style w:type="paragraph" w:styleId="ac">
    <w:name w:val="List Paragraph"/>
    <w:basedOn w:val="a"/>
    <w:uiPriority w:val="99"/>
    <w:rsid w:val="00AC4E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link w:val="a6"/>
    <w:uiPriority w:val="99"/>
    <w:pPr>
      <w:ind w:left="737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link w:val="20"/>
    <w:uiPriority w:val="99"/>
    <w:pPr>
      <w:ind w:left="1247" w:hanging="680"/>
    </w:pPr>
    <w:rPr>
      <w:rFonts w:ascii="標楷體" w:eastAsia="標楷體" w:hAnsi="標楷體"/>
      <w:sz w:val="3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uiPriority w:val="99"/>
    <w:rPr>
      <w:rFonts w:cs="Times New Roman"/>
    </w:rPr>
  </w:style>
  <w:style w:type="character" w:customStyle="1" w:styleId="a6">
    <w:name w:val="本文縮排 字元"/>
    <w:link w:val="a5"/>
    <w:uiPriority w:val="99"/>
    <w:semiHidden/>
    <w:rPr>
      <w:kern w:val="0"/>
      <w:szCs w:val="24"/>
    </w:rPr>
  </w:style>
  <w:style w:type="character" w:customStyle="1" w:styleId="20">
    <w:name w:val="本文縮排 2 字元"/>
    <w:link w:val="2"/>
    <w:uiPriority w:val="99"/>
    <w:semiHidden/>
    <w:rPr>
      <w:kern w:val="0"/>
      <w:szCs w:val="24"/>
    </w:rPr>
  </w:style>
  <w:style w:type="character" w:customStyle="1" w:styleId="a4">
    <w:name w:val="註解方塊文字 字元"/>
    <w:link w:val="a3"/>
    <w:uiPriority w:val="99"/>
    <w:semiHidden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8">
    <w:name w:val="頁尾 字元"/>
    <w:link w:val="a7"/>
    <w:uiPriority w:val="99"/>
    <w:semiHidden/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locked/>
    <w:rPr>
      <w:rFonts w:cs="Times New Roman"/>
    </w:rPr>
  </w:style>
  <w:style w:type="paragraph" w:styleId="ac">
    <w:name w:val="List Paragraph"/>
    <w:basedOn w:val="a"/>
    <w:uiPriority w:val="99"/>
    <w:rsid w:val="00AC4E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SYNNEX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連江縣縣有財產管理檢核要點</dc:title>
  <dc:creator>user</dc:creator>
  <cp:lastModifiedBy>user</cp:lastModifiedBy>
  <cp:revision>2</cp:revision>
  <cp:lastPrinted>2018-08-22T08:17:00Z</cp:lastPrinted>
  <dcterms:created xsi:type="dcterms:W3CDTF">2020-12-15T08:11:00Z</dcterms:created>
  <dcterms:modified xsi:type="dcterms:W3CDTF">2020-12-15T08:11:00Z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