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EB" w:rsidRPr="00955721" w:rsidRDefault="00B427EB" w:rsidP="00B427EB">
      <w:pPr>
        <w:rPr>
          <w:rFonts w:ascii="標楷體" w:eastAsia="標楷體" w:hAnsi="標楷體"/>
          <w:sz w:val="40"/>
          <w:szCs w:val="40"/>
        </w:rPr>
      </w:pPr>
      <w:bookmarkStart w:id="0" w:name="_GoBack"/>
      <w:bookmarkEnd w:id="0"/>
      <w:r w:rsidRPr="00955721">
        <w:rPr>
          <w:rFonts w:ascii="標楷體" w:eastAsia="標楷體" w:hAnsi="標楷體" w:hint="eastAsia"/>
          <w:sz w:val="40"/>
          <w:szCs w:val="40"/>
        </w:rPr>
        <w:t>連江縣縣有不動產被占用處理要點</w:t>
      </w:r>
    </w:p>
    <w:p w:rsidR="00B427EB" w:rsidRDefault="00B427EB" w:rsidP="00B427EB">
      <w:pPr>
        <w:rPr>
          <w:rFonts w:ascii="標楷體" w:eastAsia="標楷體" w:hAnsi="標楷體"/>
          <w:sz w:val="22"/>
        </w:rPr>
      </w:pPr>
      <w:r w:rsidRPr="00955721">
        <w:rPr>
          <w:rFonts w:ascii="標楷體" w:eastAsia="標楷體" w:hAnsi="標楷體" w:hint="eastAsia"/>
          <w:sz w:val="22"/>
        </w:rPr>
        <w:t>93年3月5日連財產字</w:t>
      </w:r>
      <w:proofErr w:type="gramStart"/>
      <w:r w:rsidRPr="00955721">
        <w:rPr>
          <w:rFonts w:ascii="標楷體" w:eastAsia="標楷體" w:hAnsi="標楷體" w:hint="eastAsia"/>
          <w:sz w:val="22"/>
        </w:rPr>
        <w:t>第0930006346號函訂定</w:t>
      </w:r>
      <w:proofErr w:type="gramEnd"/>
    </w:p>
    <w:p w:rsidR="00B427EB" w:rsidRPr="00955721" w:rsidRDefault="00B427EB" w:rsidP="00B427EB">
      <w:pPr>
        <w:rPr>
          <w:rFonts w:ascii="標楷體" w:eastAsia="標楷體" w:hAnsi="標楷體"/>
          <w:sz w:val="22"/>
        </w:rPr>
      </w:pPr>
      <w:r>
        <w:rPr>
          <w:rFonts w:ascii="標楷體" w:eastAsia="標楷體" w:hAnsi="標楷體" w:hint="eastAsia"/>
          <w:sz w:val="22"/>
        </w:rPr>
        <w:t>109年5月</w:t>
      </w:r>
      <w:r w:rsidR="009C2E08">
        <w:rPr>
          <w:rFonts w:ascii="標楷體" w:eastAsia="標楷體" w:hAnsi="標楷體" w:hint="eastAsia"/>
          <w:sz w:val="22"/>
        </w:rPr>
        <w:t>20</w:t>
      </w:r>
      <w:r>
        <w:rPr>
          <w:rFonts w:ascii="標楷體" w:eastAsia="標楷體" w:hAnsi="標楷體" w:hint="eastAsia"/>
          <w:sz w:val="22"/>
        </w:rPr>
        <w:t>日</w:t>
      </w:r>
      <w:proofErr w:type="gramStart"/>
      <w:r>
        <w:rPr>
          <w:rFonts w:ascii="標楷體" w:eastAsia="標楷體" w:hAnsi="標楷體" w:hint="eastAsia"/>
          <w:sz w:val="22"/>
        </w:rPr>
        <w:t>府授財字</w:t>
      </w:r>
      <w:proofErr w:type="gramEnd"/>
      <w:r>
        <w:rPr>
          <w:rFonts w:ascii="標楷體" w:eastAsia="標楷體" w:hAnsi="標楷體" w:hint="eastAsia"/>
          <w:sz w:val="22"/>
        </w:rPr>
        <w:t>第1090019220號函修正</w:t>
      </w:r>
    </w:p>
    <w:p w:rsidR="00B427EB" w:rsidRPr="00F34B00" w:rsidRDefault="00B427EB" w:rsidP="00B427EB">
      <w:pPr>
        <w:rPr>
          <w:rFonts w:ascii="標楷體" w:eastAsia="標楷體" w:hAnsi="標楷體"/>
          <w:sz w:val="36"/>
          <w:szCs w:val="36"/>
        </w:rPr>
      </w:pP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一、連江縣政府（以下簡稱本府）為積極處理被</w:t>
      </w:r>
      <w:proofErr w:type="gramStart"/>
      <w:r w:rsidRPr="00F34B00">
        <w:rPr>
          <w:rFonts w:ascii="標楷體" w:eastAsia="標楷體" w:hAnsi="標楷體" w:hint="eastAsia"/>
          <w:sz w:val="32"/>
          <w:szCs w:val="32"/>
        </w:rPr>
        <w:t>占用縣有</w:t>
      </w:r>
      <w:proofErr w:type="gramEnd"/>
      <w:r w:rsidRPr="00F34B00">
        <w:rPr>
          <w:rFonts w:ascii="標楷體" w:eastAsia="標楷體" w:hAnsi="標楷體" w:hint="eastAsia"/>
          <w:sz w:val="32"/>
          <w:szCs w:val="32"/>
        </w:rPr>
        <w:t>不動產，以維護縣產權益，並促進土地合理利用，特訂定本要點。</w:t>
      </w: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二、本要點所稱「占用」，指無權占有縣有不動產。</w:t>
      </w: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三、縣有不動產被政府機關或非公司組織之公營事業機構占用，占用機關（構）因公務或公共需要使用者，得依法申辦撥用。但未申辦撥用或使用情形不合於撥用規定者，管理機關應通知占用機關（構）騰空交還。占用機關（構）不配合辦理者，應協調其主管機關督促辦理。</w:t>
      </w: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四、縣有不動產被公司組織之公營事業機構或私人占用，其符合連江縣縣有財產管理自治條例規定或其他法令之規定者，得以出租、讓售或現狀標售方式處理。</w:t>
      </w:r>
    </w:p>
    <w:p w:rsidR="00B427EB" w:rsidRPr="00F34B00" w:rsidRDefault="00B427EB" w:rsidP="00B427EB">
      <w:pPr>
        <w:ind w:leftChars="200" w:left="480"/>
        <w:rPr>
          <w:rFonts w:ascii="標楷體" w:eastAsia="標楷體" w:hAnsi="標楷體"/>
          <w:sz w:val="32"/>
          <w:szCs w:val="32"/>
        </w:rPr>
      </w:pPr>
      <w:r w:rsidRPr="00F34B00">
        <w:rPr>
          <w:rFonts w:ascii="標楷體" w:eastAsia="標楷體" w:hAnsi="標楷體" w:hint="eastAsia"/>
          <w:sz w:val="32"/>
          <w:szCs w:val="32"/>
        </w:rPr>
        <w:t>被占用不動產無法依前項方式處理者，管理機關應通知占用人騰空交還，並得依下列方式處理：</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)違反法律或土地使用管制者，通知或協調主管機關依法處理。</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lastRenderedPageBreak/>
        <w:t>(二)循民事訴訟途徑排除。</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(三)依中華民國刑法第三百二十條規定移請警察機關偵辦或</w:t>
      </w:r>
      <w:proofErr w:type="gramStart"/>
      <w:r w:rsidRPr="00F34B00">
        <w:rPr>
          <w:rFonts w:ascii="標楷體" w:eastAsia="標楷體" w:hAnsi="標楷體" w:hint="eastAsia"/>
          <w:sz w:val="32"/>
          <w:szCs w:val="32"/>
        </w:rPr>
        <w:t>逕</w:t>
      </w:r>
      <w:proofErr w:type="gramEnd"/>
      <w:r w:rsidRPr="00F34B00">
        <w:rPr>
          <w:rFonts w:ascii="標楷體" w:eastAsia="標楷體" w:hAnsi="標楷體" w:hint="eastAsia"/>
          <w:sz w:val="32"/>
          <w:szCs w:val="32"/>
        </w:rPr>
        <w:t>向檢察機關告訴。占用情形影響公共安全者，優先移送。</w:t>
      </w:r>
    </w:p>
    <w:p w:rsidR="00B427EB" w:rsidRPr="00F34B00" w:rsidRDefault="00B427EB" w:rsidP="00B427EB">
      <w:pPr>
        <w:ind w:leftChars="200" w:left="480"/>
        <w:rPr>
          <w:rFonts w:ascii="標楷體" w:eastAsia="標楷體" w:hAnsi="標楷體"/>
          <w:sz w:val="32"/>
          <w:szCs w:val="32"/>
        </w:rPr>
      </w:pPr>
      <w:proofErr w:type="gramStart"/>
      <w:r w:rsidRPr="00F34B00">
        <w:rPr>
          <w:rFonts w:ascii="標楷體" w:eastAsia="標楷體" w:hAnsi="標楷體" w:hint="eastAsia"/>
          <w:sz w:val="32"/>
          <w:szCs w:val="32"/>
        </w:rPr>
        <w:t>對占用作</w:t>
      </w:r>
      <w:proofErr w:type="gramEnd"/>
      <w:r w:rsidRPr="00F34B00">
        <w:rPr>
          <w:rFonts w:ascii="標楷體" w:eastAsia="標楷體" w:hAnsi="標楷體" w:hint="eastAsia"/>
          <w:sz w:val="32"/>
          <w:szCs w:val="32"/>
        </w:rPr>
        <w:t>居住使用者，執行機關於排除占用前，調查占用人是否需協助安置，並就需協助者協助依法向目的事業主管機關或民間機構申請公共租賃住宅、社會住宅、榮民之家或社會福利機構或護理機構等進行安置，相關過程作成紀錄，以利日後查考。</w:t>
      </w:r>
    </w:p>
    <w:p w:rsidR="00B427EB" w:rsidRPr="00F34B00" w:rsidRDefault="00B427EB" w:rsidP="00B427EB">
      <w:pPr>
        <w:ind w:leftChars="200" w:left="480"/>
        <w:rPr>
          <w:rFonts w:ascii="標楷體" w:eastAsia="標楷體" w:hAnsi="標楷體"/>
          <w:sz w:val="32"/>
          <w:szCs w:val="32"/>
        </w:rPr>
      </w:pPr>
      <w:r w:rsidRPr="00F34B00">
        <w:rPr>
          <w:rFonts w:ascii="標楷體" w:eastAsia="標楷體" w:hAnsi="標楷體" w:hint="eastAsia"/>
          <w:sz w:val="32"/>
          <w:szCs w:val="32"/>
        </w:rPr>
        <w:t>占用人有下列情形之</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者，執行機關於排除占用前，協助依法向目的事業主管機關申請相關補助、補貼或津貼，並將過程作成紀錄，以利日後查考:</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)屬社會救助法規範之低收入戶或中低收入戶。</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(二)屬特殊境遇家庭扶助條例規範之特殊境遇家庭成員。</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(三)依身心障礙者權益保障法領有生活補助費者。</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(四)依老人福利法領有中低收入老人生活津貼。</w:t>
      </w: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五、被占用之不動產，在占用人未取得合法使用權源或騰空交還前，管理機關應先依民法不當得利之規定，</w:t>
      </w:r>
      <w:proofErr w:type="gramStart"/>
      <w:r w:rsidRPr="00F34B00">
        <w:rPr>
          <w:rFonts w:ascii="標楷體" w:eastAsia="標楷體" w:hAnsi="標楷體" w:hint="eastAsia"/>
          <w:sz w:val="32"/>
          <w:szCs w:val="32"/>
        </w:rPr>
        <w:t>向占用</w:t>
      </w:r>
      <w:r w:rsidRPr="00F34B00">
        <w:rPr>
          <w:rFonts w:ascii="標楷體" w:eastAsia="標楷體" w:hAnsi="標楷體" w:hint="eastAsia"/>
          <w:sz w:val="32"/>
          <w:szCs w:val="32"/>
        </w:rPr>
        <w:lastRenderedPageBreak/>
        <w:t>人</w:t>
      </w:r>
      <w:proofErr w:type="gramEnd"/>
      <w:r w:rsidRPr="00F34B00">
        <w:rPr>
          <w:rFonts w:ascii="標楷體" w:eastAsia="標楷體" w:hAnsi="標楷體" w:hint="eastAsia"/>
          <w:sz w:val="32"/>
          <w:szCs w:val="32"/>
        </w:rPr>
        <w:t>追溯收取占用期間之使用補償金，除民法第一百二十九條之時效中斷事由外，自通知日前一月起往前追收最長五年及往後收取至騰空</w:t>
      </w:r>
      <w:proofErr w:type="gramStart"/>
      <w:r w:rsidRPr="00F34B00">
        <w:rPr>
          <w:rFonts w:ascii="標楷體" w:eastAsia="標楷體" w:hAnsi="標楷體" w:hint="eastAsia"/>
          <w:sz w:val="32"/>
          <w:szCs w:val="32"/>
        </w:rPr>
        <w:t>返還日</w:t>
      </w:r>
      <w:proofErr w:type="gramEnd"/>
      <w:r w:rsidRPr="00F34B00">
        <w:rPr>
          <w:rFonts w:ascii="標楷體" w:eastAsia="標楷體" w:hAnsi="標楷體" w:hint="eastAsia"/>
          <w:sz w:val="32"/>
          <w:szCs w:val="32"/>
        </w:rPr>
        <w:t>，並得同意免計息分期付款，期</w:t>
      </w:r>
      <w:proofErr w:type="gramStart"/>
      <w:r w:rsidRPr="00F34B00">
        <w:rPr>
          <w:rFonts w:ascii="標楷體" w:eastAsia="標楷體" w:hAnsi="標楷體" w:hint="eastAsia"/>
          <w:sz w:val="32"/>
          <w:szCs w:val="32"/>
        </w:rPr>
        <w:t>數視占</w:t>
      </w:r>
      <w:proofErr w:type="gramEnd"/>
      <w:r w:rsidRPr="00F34B00">
        <w:rPr>
          <w:rFonts w:ascii="標楷體" w:eastAsia="標楷體" w:hAnsi="標楷體" w:hint="eastAsia"/>
          <w:sz w:val="32"/>
          <w:szCs w:val="32"/>
        </w:rPr>
        <w:t>用者經濟情況酌定之。但符合下列情形者，得予免收、減半計收或緩收:</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)政府機關或非公司組織之公營事業占用作公共設施供不特定人使用且無收入者，免收。</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(二)訴訟請求排除占用前，占用者騰空</w:t>
      </w:r>
      <w:proofErr w:type="gramStart"/>
      <w:r w:rsidRPr="00F34B00">
        <w:rPr>
          <w:rFonts w:ascii="標楷體" w:eastAsia="標楷體" w:hAnsi="標楷體" w:hint="eastAsia"/>
          <w:sz w:val="32"/>
          <w:szCs w:val="32"/>
        </w:rPr>
        <w:t>返還縣有</w:t>
      </w:r>
      <w:proofErr w:type="gramEnd"/>
      <w:r w:rsidRPr="00F34B00">
        <w:rPr>
          <w:rFonts w:ascii="標楷體" w:eastAsia="標楷體" w:hAnsi="標楷體" w:hint="eastAsia"/>
          <w:sz w:val="32"/>
          <w:szCs w:val="32"/>
        </w:rPr>
        <w:t>不動產者，免收。已進入訴訟程序，於一審判決前，占用者騰空</w:t>
      </w:r>
      <w:proofErr w:type="gramStart"/>
      <w:r w:rsidRPr="00F34B00">
        <w:rPr>
          <w:rFonts w:ascii="標楷體" w:eastAsia="標楷體" w:hAnsi="標楷體" w:hint="eastAsia"/>
          <w:sz w:val="32"/>
          <w:szCs w:val="32"/>
        </w:rPr>
        <w:t>返還縣有</w:t>
      </w:r>
      <w:proofErr w:type="gramEnd"/>
      <w:r w:rsidRPr="00F34B00">
        <w:rPr>
          <w:rFonts w:ascii="標楷體" w:eastAsia="標楷體" w:hAnsi="標楷體" w:hint="eastAsia"/>
          <w:sz w:val="32"/>
          <w:szCs w:val="32"/>
        </w:rPr>
        <w:t>不動產並辦理訴訟和解者，得依個案情形酌予減收。</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(三)占用者依法申請</w:t>
      </w:r>
      <w:proofErr w:type="gramStart"/>
      <w:r w:rsidRPr="00F34B00">
        <w:rPr>
          <w:rFonts w:ascii="標楷體" w:eastAsia="標楷體" w:hAnsi="標楷體" w:hint="eastAsia"/>
          <w:sz w:val="32"/>
          <w:szCs w:val="32"/>
        </w:rPr>
        <w:t>返還縣有</w:t>
      </w:r>
      <w:proofErr w:type="gramEnd"/>
      <w:r w:rsidRPr="00F34B00">
        <w:rPr>
          <w:rFonts w:ascii="標楷體" w:eastAsia="標楷體" w:hAnsi="標楷體" w:hint="eastAsia"/>
          <w:sz w:val="32"/>
          <w:szCs w:val="32"/>
        </w:rPr>
        <w:t>不動產獲核准者，免收。申請</w:t>
      </w:r>
      <w:proofErr w:type="gramStart"/>
      <w:r w:rsidRPr="00F34B00">
        <w:rPr>
          <w:rFonts w:ascii="標楷體" w:eastAsia="標楷體" w:hAnsi="標楷體" w:hint="eastAsia"/>
          <w:sz w:val="32"/>
          <w:szCs w:val="32"/>
        </w:rPr>
        <w:t>期間，</w:t>
      </w:r>
      <w:proofErr w:type="gramEnd"/>
      <w:r w:rsidRPr="00F34B00">
        <w:rPr>
          <w:rFonts w:ascii="標楷體" w:eastAsia="標楷體" w:hAnsi="標楷體" w:hint="eastAsia"/>
          <w:sz w:val="32"/>
          <w:szCs w:val="32"/>
        </w:rPr>
        <w:t>緩收。申請返還未獲核准，即依規定追收。</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(四)占用人符合第四點第四項各款情形之</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者，暫緩追收使用補償金。占用人變更為非上述情形或有擴大占用情事時，立即依規定追收。</w:t>
      </w: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六、被</w:t>
      </w:r>
      <w:proofErr w:type="gramStart"/>
      <w:r w:rsidRPr="00F34B00">
        <w:rPr>
          <w:rFonts w:ascii="標楷體" w:eastAsia="標楷體" w:hAnsi="標楷體" w:hint="eastAsia"/>
          <w:sz w:val="32"/>
          <w:szCs w:val="32"/>
        </w:rPr>
        <w:t>占用縣有</w:t>
      </w:r>
      <w:proofErr w:type="gramEnd"/>
      <w:r w:rsidRPr="00F34B00">
        <w:rPr>
          <w:rFonts w:ascii="標楷體" w:eastAsia="標楷體" w:hAnsi="標楷體" w:hint="eastAsia"/>
          <w:sz w:val="32"/>
          <w:szCs w:val="32"/>
        </w:rPr>
        <w:t>不動產使用補償金之計收標準如下：</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)土地：</w:t>
      </w:r>
      <w:proofErr w:type="gramStart"/>
      <w:r w:rsidRPr="00F34B00">
        <w:rPr>
          <w:rFonts w:ascii="標楷體" w:eastAsia="標楷體" w:hAnsi="標楷體" w:hint="eastAsia"/>
          <w:sz w:val="32"/>
          <w:szCs w:val="32"/>
        </w:rPr>
        <w:t>依當期</w:t>
      </w:r>
      <w:proofErr w:type="gramEnd"/>
      <w:r w:rsidRPr="00F34B00">
        <w:rPr>
          <w:rFonts w:ascii="標楷體" w:eastAsia="標楷體" w:hAnsi="標楷體" w:hint="eastAsia"/>
          <w:sz w:val="32"/>
          <w:szCs w:val="32"/>
        </w:rPr>
        <w:t>土地公告地價總額年息百分之五計收。</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lastRenderedPageBreak/>
        <w:t>(二)建物：</w:t>
      </w:r>
      <w:proofErr w:type="gramStart"/>
      <w:r w:rsidRPr="00F34B00">
        <w:rPr>
          <w:rFonts w:ascii="標楷體" w:eastAsia="標楷體" w:hAnsi="標楷體" w:hint="eastAsia"/>
          <w:sz w:val="32"/>
          <w:szCs w:val="32"/>
        </w:rPr>
        <w:t>依當期</w:t>
      </w:r>
      <w:proofErr w:type="gramEnd"/>
      <w:r w:rsidRPr="00F34B00">
        <w:rPr>
          <w:rFonts w:ascii="標楷體" w:eastAsia="標楷體" w:hAnsi="標楷體" w:hint="eastAsia"/>
          <w:sz w:val="32"/>
          <w:szCs w:val="32"/>
        </w:rPr>
        <w:t>房屋課稅現值年息百分之十計收。</w:t>
      </w: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七、管理機關應於每年一、七月依列管之占用資料，將前半年之使用補償金繳款書郵寄占用人於期限內繳納。但管理機關認定情況特殊者，得按月或</w:t>
      </w:r>
      <w:proofErr w:type="gramStart"/>
      <w:r w:rsidRPr="00F34B00">
        <w:rPr>
          <w:rFonts w:ascii="標楷體" w:eastAsia="標楷體" w:hAnsi="標楷體" w:hint="eastAsia"/>
          <w:sz w:val="32"/>
          <w:szCs w:val="32"/>
        </w:rPr>
        <w:t>按季計收</w:t>
      </w:r>
      <w:proofErr w:type="gramEnd"/>
      <w:r w:rsidRPr="00F34B00">
        <w:rPr>
          <w:rFonts w:ascii="標楷體" w:eastAsia="標楷體" w:hAnsi="標楷體" w:hint="eastAsia"/>
          <w:sz w:val="32"/>
          <w:szCs w:val="32"/>
        </w:rPr>
        <w:t>。</w:t>
      </w:r>
    </w:p>
    <w:p w:rsidR="00B427EB" w:rsidRPr="00F34B00" w:rsidRDefault="00B427EB" w:rsidP="00B427EB">
      <w:pPr>
        <w:ind w:left="640" w:hangingChars="200" w:hanging="640"/>
        <w:rPr>
          <w:rFonts w:ascii="標楷體" w:eastAsia="標楷體" w:hAnsi="標楷體"/>
          <w:sz w:val="32"/>
          <w:szCs w:val="32"/>
        </w:rPr>
      </w:pPr>
      <w:r w:rsidRPr="00F34B00">
        <w:rPr>
          <w:rFonts w:ascii="標楷體" w:eastAsia="標楷體" w:hAnsi="標楷體" w:hint="eastAsia"/>
          <w:sz w:val="32"/>
          <w:szCs w:val="32"/>
        </w:rPr>
        <w:t>八、占用者未於繳納期限內繳交使用補償金者，管理機關應依民法第二百二十九條及第二百三十三條規定，請求其支付自繳納期限屆滿後至實際繳交之日依法定利率計算之遲延利息。但有下列情形之</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者，得免收遲延利息：</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w:t>
      </w:r>
      <w:proofErr w:type="gramStart"/>
      <w:r w:rsidRPr="00F34B00">
        <w:rPr>
          <w:rFonts w:ascii="標楷體" w:eastAsia="標楷體" w:hAnsi="標楷體" w:hint="eastAsia"/>
          <w:sz w:val="32"/>
          <w:szCs w:val="32"/>
        </w:rPr>
        <w:t>一</w:t>
      </w:r>
      <w:proofErr w:type="gramEnd"/>
      <w:r w:rsidRPr="00F34B00">
        <w:rPr>
          <w:rFonts w:ascii="標楷體" w:eastAsia="標楷體" w:hAnsi="標楷體" w:hint="eastAsia"/>
          <w:sz w:val="32"/>
          <w:szCs w:val="32"/>
        </w:rPr>
        <w:t>)占用人在管理機關聲請法院發給支付命令或</w:t>
      </w:r>
      <w:proofErr w:type="gramStart"/>
      <w:r w:rsidRPr="00F34B00">
        <w:rPr>
          <w:rFonts w:ascii="標楷體" w:eastAsia="標楷體" w:hAnsi="標楷體" w:hint="eastAsia"/>
          <w:sz w:val="32"/>
          <w:szCs w:val="32"/>
        </w:rPr>
        <w:t>訴請返還</w:t>
      </w:r>
      <w:proofErr w:type="gramEnd"/>
      <w:r w:rsidRPr="00F34B00">
        <w:rPr>
          <w:rFonts w:ascii="標楷體" w:eastAsia="標楷體" w:hAnsi="標楷體" w:hint="eastAsia"/>
          <w:sz w:val="32"/>
          <w:szCs w:val="32"/>
        </w:rPr>
        <w:t>不當得利前，已一次繳清或申請分期繳納使用補償金。</w:t>
      </w:r>
    </w:p>
    <w:p w:rsidR="00B427EB" w:rsidRPr="00F34B00" w:rsidRDefault="00B427EB" w:rsidP="00B427EB">
      <w:pPr>
        <w:ind w:leftChars="200" w:left="1120" w:hangingChars="200" w:hanging="640"/>
        <w:rPr>
          <w:rFonts w:ascii="標楷體" w:eastAsia="標楷體" w:hAnsi="標楷體"/>
          <w:sz w:val="32"/>
          <w:szCs w:val="32"/>
        </w:rPr>
      </w:pPr>
      <w:r w:rsidRPr="00F34B00">
        <w:rPr>
          <w:rFonts w:ascii="標楷體" w:eastAsia="標楷體" w:hAnsi="標楷體" w:hint="eastAsia"/>
          <w:sz w:val="32"/>
          <w:szCs w:val="32"/>
        </w:rPr>
        <w:t>(二)管理機關寄送之使用補償金繳款書，尚未送達占用人。</w:t>
      </w:r>
    </w:p>
    <w:p w:rsidR="0085406C" w:rsidRDefault="00B427EB" w:rsidP="00B427EB">
      <w:r w:rsidRPr="00F34B00">
        <w:rPr>
          <w:rFonts w:ascii="標楷體" w:eastAsia="標楷體" w:hAnsi="標楷體" w:hint="eastAsia"/>
          <w:sz w:val="32"/>
          <w:szCs w:val="32"/>
        </w:rPr>
        <w:t>(三)其他經管理機關認定情況特殊。</w:t>
      </w:r>
    </w:p>
    <w:sectPr w:rsidR="008540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5E" w:rsidRDefault="0032555E" w:rsidP="00080E72">
      <w:r>
        <w:separator/>
      </w:r>
    </w:p>
  </w:endnote>
  <w:endnote w:type="continuationSeparator" w:id="0">
    <w:p w:rsidR="0032555E" w:rsidRDefault="0032555E" w:rsidP="0008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5E" w:rsidRDefault="0032555E" w:rsidP="00080E72">
      <w:r>
        <w:separator/>
      </w:r>
    </w:p>
  </w:footnote>
  <w:footnote w:type="continuationSeparator" w:id="0">
    <w:p w:rsidR="0032555E" w:rsidRDefault="0032555E" w:rsidP="00080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EB"/>
    <w:rsid w:val="00080E72"/>
    <w:rsid w:val="0032555E"/>
    <w:rsid w:val="00375B85"/>
    <w:rsid w:val="0085406C"/>
    <w:rsid w:val="009C2E08"/>
    <w:rsid w:val="00B42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E72"/>
    <w:pPr>
      <w:tabs>
        <w:tab w:val="center" w:pos="4153"/>
        <w:tab w:val="right" w:pos="8306"/>
      </w:tabs>
      <w:snapToGrid w:val="0"/>
    </w:pPr>
    <w:rPr>
      <w:sz w:val="20"/>
      <w:szCs w:val="20"/>
    </w:rPr>
  </w:style>
  <w:style w:type="character" w:customStyle="1" w:styleId="a4">
    <w:name w:val="頁首 字元"/>
    <w:basedOn w:val="a0"/>
    <w:link w:val="a3"/>
    <w:uiPriority w:val="99"/>
    <w:rsid w:val="00080E72"/>
    <w:rPr>
      <w:kern w:val="2"/>
    </w:rPr>
  </w:style>
  <w:style w:type="paragraph" w:styleId="a5">
    <w:name w:val="footer"/>
    <w:basedOn w:val="a"/>
    <w:link w:val="a6"/>
    <w:uiPriority w:val="99"/>
    <w:unhideWhenUsed/>
    <w:rsid w:val="00080E72"/>
    <w:pPr>
      <w:tabs>
        <w:tab w:val="center" w:pos="4153"/>
        <w:tab w:val="right" w:pos="8306"/>
      </w:tabs>
      <w:snapToGrid w:val="0"/>
    </w:pPr>
    <w:rPr>
      <w:sz w:val="20"/>
      <w:szCs w:val="20"/>
    </w:rPr>
  </w:style>
  <w:style w:type="character" w:customStyle="1" w:styleId="a6">
    <w:name w:val="頁尾 字元"/>
    <w:basedOn w:val="a0"/>
    <w:link w:val="a5"/>
    <w:uiPriority w:val="99"/>
    <w:rsid w:val="00080E7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E72"/>
    <w:pPr>
      <w:tabs>
        <w:tab w:val="center" w:pos="4153"/>
        <w:tab w:val="right" w:pos="8306"/>
      </w:tabs>
      <w:snapToGrid w:val="0"/>
    </w:pPr>
    <w:rPr>
      <w:sz w:val="20"/>
      <w:szCs w:val="20"/>
    </w:rPr>
  </w:style>
  <w:style w:type="character" w:customStyle="1" w:styleId="a4">
    <w:name w:val="頁首 字元"/>
    <w:basedOn w:val="a0"/>
    <w:link w:val="a3"/>
    <w:uiPriority w:val="99"/>
    <w:rsid w:val="00080E72"/>
    <w:rPr>
      <w:kern w:val="2"/>
    </w:rPr>
  </w:style>
  <w:style w:type="paragraph" w:styleId="a5">
    <w:name w:val="footer"/>
    <w:basedOn w:val="a"/>
    <w:link w:val="a6"/>
    <w:uiPriority w:val="99"/>
    <w:unhideWhenUsed/>
    <w:rsid w:val="00080E72"/>
    <w:pPr>
      <w:tabs>
        <w:tab w:val="center" w:pos="4153"/>
        <w:tab w:val="right" w:pos="8306"/>
      </w:tabs>
      <w:snapToGrid w:val="0"/>
    </w:pPr>
    <w:rPr>
      <w:sz w:val="20"/>
      <w:szCs w:val="20"/>
    </w:rPr>
  </w:style>
  <w:style w:type="character" w:customStyle="1" w:styleId="a6">
    <w:name w:val="頁尾 字元"/>
    <w:basedOn w:val="a0"/>
    <w:link w:val="a5"/>
    <w:uiPriority w:val="99"/>
    <w:rsid w:val="00080E7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20110Z01</dc:creator>
  <cp:lastModifiedBy>user</cp:lastModifiedBy>
  <cp:revision>2</cp:revision>
  <dcterms:created xsi:type="dcterms:W3CDTF">2020-12-15T08:10:00Z</dcterms:created>
  <dcterms:modified xsi:type="dcterms:W3CDTF">2020-12-15T08:10:00Z</dcterms:modified>
</cp:coreProperties>
</file>