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-100"/>
          <w:position w:val="0"/>
          <w:sz w:val="56"/>
          <w:shd w:fill="auto" w:val="clear"/>
        </w:rPr>
        <w:t xml:space="preserve">﹏﹏﹏﹏﹏﹏﹏﹏﹏﹏﹏﹏</w:t>
      </w:r>
    </w:p>
    <w:p>
      <w:pPr>
        <w:spacing w:before="0" w:after="0" w:line="560"/>
        <w:ind w:right="0" w:left="14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48"/>
          <w:shd w:fill="auto" w:val="clear"/>
        </w:rPr>
        <w:t xml:space="preserve">總　　統　　令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100"/>
          <w:position w:val="0"/>
          <w:sz w:val="56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-100"/>
          <w:position w:val="0"/>
          <w:sz w:val="56"/>
          <w:shd w:fill="auto" w:val="clear"/>
        </w:rPr>
        <w:t xml:space="preserve">﹏﹏﹏﹏﹏﹏﹏﹏﹏﹏﹏﹏</w:t>
      </w:r>
    </w:p>
    <w:tbl>
      <w:tblPr/>
      <w:tblGrid>
        <w:gridCol w:w="1988"/>
        <w:gridCol w:w="4759"/>
      </w:tblGrid>
      <w:tr>
        <w:trPr>
          <w:trHeight w:val="851" w:hRule="auto"/>
          <w:jc w:val="left"/>
        </w:trPr>
        <w:tc>
          <w:tcPr>
            <w:tcW w:w="19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總統令</w:t>
            </w:r>
          </w:p>
        </w:tc>
        <w:tc>
          <w:tcPr>
            <w:tcW w:w="47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8"/>
                <w:shd w:fill="auto" w:val="clear"/>
              </w:rPr>
              <w:t xml:space="preserve">中華民國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106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8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8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8"/>
                <w:shd w:fill="auto" w:val="clear"/>
              </w:rPr>
              <w:t xml:space="preserve">日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8"/>
                <w:shd w:fill="auto" w:val="clear"/>
              </w:rPr>
              <w:t xml:space="preserve">華總一義字第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10600157011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8"/>
                <w:shd w:fill="auto" w:val="clear"/>
              </w:rPr>
              <w:t xml:space="preserve">號</w:t>
            </w:r>
          </w:p>
        </w:tc>
      </w:tr>
    </w:tbl>
    <w:p>
      <w:pPr>
        <w:spacing w:before="0" w:after="0" w:line="4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茲修正菸酒管理法第五十七條及第五十九條條文，公布之。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總　　　統　蔡英文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行政院院長　賴清德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財政部部長　許虞哲</w:t>
      </w:r>
    </w:p>
    <w:p>
      <w:pPr>
        <w:spacing w:before="0" w:after="0" w:line="4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32"/>
          <w:shd w:fill="auto" w:val="clear"/>
        </w:rPr>
        <w:t xml:space="preserve">菸酒管理法修正第五十七條及第五十九條條文</w:t>
      </w:r>
    </w:p>
    <w:p>
      <w:pPr>
        <w:spacing w:before="0" w:after="0" w:line="4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中華民國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106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27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日公布</w:t>
      </w:r>
    </w:p>
    <w:p>
      <w:pPr>
        <w:spacing w:before="0" w:after="0" w:line="446"/>
        <w:ind w:right="0" w:left="1418" w:hanging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第五十七條　　依本法查獲之私菸、私酒及供產製私菸、私酒之原料、半成品、器具及酒類容器，沒收或沒入之。</w:t>
      </w:r>
    </w:p>
    <w:p>
      <w:pPr>
        <w:spacing w:before="0" w:after="0" w:line="446"/>
        <w:ind w:right="0" w:left="1418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依本法查獲之劣菸、劣酒，沒收或沒入之。</w:t>
      </w:r>
    </w:p>
    <w:p>
      <w:pPr>
        <w:spacing w:before="0" w:after="0" w:line="446"/>
        <w:ind w:right="0" w:left="1418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以符合國家標準之食用酒精以外之酒精類產品為製酒原料，或製菸酒原料含有對人體健康有重大危害之物質者，該原料、半成品沒收或沒入之。</w:t>
      </w:r>
    </w:p>
    <w:p>
      <w:pPr>
        <w:spacing w:before="0" w:after="0" w:line="446"/>
        <w:ind w:right="0" w:left="1418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前三項查獲應沒收或沒入之菸、酒與其原料、半成品、器具及酒類容器，不問屬於行為人與否，沒收或沒入之。</w:t>
      </w:r>
    </w:p>
    <w:p>
      <w:pPr>
        <w:spacing w:before="0" w:after="0" w:line="440"/>
        <w:ind w:right="0" w:left="1418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販賣逾有效日期或期限之菸酒，不問屬於何人所有，沒入之。</w:t>
      </w:r>
    </w:p>
    <w:p>
      <w:pPr>
        <w:spacing w:before="0" w:after="0" w:line="440"/>
        <w:ind w:right="0" w:left="1418" w:hanging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第五十九條　　本法施行日期，由行政院定之。但行政院得分別情形定其一部或全部之施行日期。</w:t>
      </w:r>
    </w:p>
    <w:p>
      <w:pPr>
        <w:spacing w:before="0" w:after="0" w:line="440"/>
        <w:ind w:right="0" w:left="1418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本法中華民國一百零六年十二月八日修正之第五十七條規定，自公布日施行。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