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連江縣政府105年第</w:t>
      </w:r>
      <w:r w:rsidR="00DE1D88" w:rsidRPr="0045222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8B36E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8B36EB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月</w:t>
      </w:r>
      <w:r w:rsidR="008B36EB">
        <w:rPr>
          <w:rFonts w:ascii="標楷體" w:eastAsia="標楷體" w:hAnsi="標楷體" w:cs="標楷體" w:hint="eastAsia"/>
          <w:kern w:val="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</w:rPr>
        <w:t>日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  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60DC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5F6C7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8B36EB">
        <w:rPr>
          <w:rFonts w:ascii="標楷體" w:eastAsia="標楷體" w:hAnsi="標楷體" w:cs="標楷體" w:hint="eastAsia"/>
          <w:kern w:val="2"/>
          <w:lang w:eastAsia="zh-TW"/>
        </w:rPr>
        <w:t>9</w:t>
      </w:r>
      <w:r w:rsidR="005F6C76" w:rsidRPr="0045222B">
        <w:rPr>
          <w:rFonts w:ascii="標楷體" w:eastAsia="標楷體" w:hAnsi="標楷體" w:cs="標楷體"/>
          <w:kern w:val="2"/>
        </w:rPr>
        <w:t>:</w:t>
      </w:r>
      <w:r w:rsidR="005F6C76">
        <w:rPr>
          <w:rFonts w:ascii="標楷體" w:eastAsia="標楷體" w:hAnsi="標楷體" w:cs="標楷體"/>
          <w:kern w:val="2"/>
        </w:rPr>
        <w:t>0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8276E4">
        <w:rPr>
          <w:rFonts w:ascii="標楷體" w:eastAsia="標楷體" w:hAnsi="標楷體" w:cs="標楷體" w:hint="eastAsia"/>
          <w:kern w:val="2"/>
          <w:lang w:eastAsia="zh-TW"/>
        </w:rPr>
        <w:t>2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>劉縣</w:t>
      </w:r>
      <w:r w:rsidRPr="0045222B">
        <w:rPr>
          <w:rFonts w:ascii="標楷體" w:eastAsia="標楷體" w:hAnsi="標楷體" w:cs="標楷體"/>
          <w:kern w:val="2"/>
        </w:rPr>
        <w:t>長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>增應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          聯絡人員：企劃室王文鈴</w:t>
      </w:r>
    </w:p>
    <w:p w:rsidR="00FB0AF2" w:rsidRPr="0045222B" w:rsidRDefault="00FB0AF2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D631B5" w:rsidRDefault="00983A75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350F25">
        <w:rPr>
          <w:rFonts w:ascii="標楷體" w:eastAsia="標楷體" w:hAnsi="標楷體" w:cs="標楷體" w:hint="eastAsia"/>
          <w:kern w:val="2"/>
          <w:lang w:eastAsia="zh-TW"/>
        </w:rPr>
        <w:t>水域安全</w:t>
      </w:r>
      <w:r w:rsidR="008024E9">
        <w:rPr>
          <w:rFonts w:ascii="標楷體" w:eastAsia="標楷體" w:hAnsi="標楷體" w:cs="標楷體" w:hint="eastAsia"/>
          <w:kern w:val="2"/>
          <w:lang w:eastAsia="zh-TW"/>
        </w:rPr>
        <w:t>及火災</w:t>
      </w:r>
      <w:r w:rsidR="00350F25">
        <w:rPr>
          <w:rFonts w:ascii="標楷體" w:eastAsia="標楷體" w:hAnsi="標楷體" w:cs="標楷體" w:hint="eastAsia"/>
          <w:kern w:val="2"/>
          <w:lang w:eastAsia="zh-TW"/>
        </w:rPr>
        <w:t>訓練</w:t>
      </w:r>
      <w:r w:rsidR="008024E9">
        <w:rPr>
          <w:rFonts w:ascii="標楷體" w:eastAsia="標楷體" w:hAnsi="標楷體" w:cs="標楷體" w:hint="eastAsia"/>
          <w:kern w:val="2"/>
          <w:lang w:eastAsia="zh-TW"/>
        </w:rPr>
        <w:t>、預防宣導</w:t>
      </w:r>
      <w:r w:rsidR="003A29DE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8024E9">
        <w:rPr>
          <w:rFonts w:ascii="標楷體" w:eastAsia="標楷體" w:hAnsi="標楷體" w:cs="標楷體" w:hint="eastAsia"/>
          <w:kern w:val="2"/>
          <w:lang w:eastAsia="zh-TW"/>
        </w:rPr>
        <w:t>需</w:t>
      </w:r>
      <w:r w:rsidR="00195C50">
        <w:rPr>
          <w:rFonts w:ascii="標楷體" w:eastAsia="標楷體" w:hAnsi="標楷體" w:cs="標楷體" w:hint="eastAsia"/>
          <w:kern w:val="2"/>
          <w:lang w:eastAsia="zh-TW"/>
        </w:rPr>
        <w:t>持續精進及</w:t>
      </w:r>
      <w:r w:rsidR="003A29DE">
        <w:rPr>
          <w:rFonts w:ascii="標楷體" w:eastAsia="標楷體" w:hAnsi="標楷體" w:cs="標楷體" w:hint="eastAsia"/>
          <w:kern w:val="2"/>
          <w:lang w:eastAsia="zh-TW"/>
        </w:rPr>
        <w:t>提升本縣消防救災</w:t>
      </w:r>
      <w:r w:rsidR="008024E9">
        <w:rPr>
          <w:rFonts w:ascii="標楷體" w:eastAsia="標楷體" w:hAnsi="標楷體" w:cs="標楷體" w:hint="eastAsia"/>
          <w:kern w:val="2"/>
          <w:lang w:eastAsia="zh-TW"/>
        </w:rPr>
        <w:t>能力</w:t>
      </w:r>
      <w:r w:rsidR="003A29DE">
        <w:rPr>
          <w:rFonts w:ascii="標楷體" w:eastAsia="標楷體" w:hAnsi="標楷體" w:cs="標楷體" w:hint="eastAsia"/>
          <w:kern w:val="2"/>
          <w:lang w:eastAsia="zh-TW"/>
        </w:rPr>
        <w:t>，另</w:t>
      </w:r>
      <w:r w:rsidR="008024E9">
        <w:rPr>
          <w:rFonts w:ascii="標楷體" w:eastAsia="標楷體" w:hAnsi="標楷體" w:cs="標楷體" w:hint="eastAsia"/>
          <w:kern w:val="2"/>
          <w:lang w:eastAsia="zh-TW"/>
        </w:rPr>
        <w:t>9</w:t>
      </w:r>
      <w:r w:rsidR="003A29DE">
        <w:rPr>
          <w:rFonts w:ascii="標楷體" w:eastAsia="標楷體" w:hAnsi="標楷體" w:cs="標楷體" w:hint="eastAsia"/>
          <w:kern w:val="2"/>
          <w:lang w:eastAsia="zh-TW"/>
        </w:rPr>
        <w:t>月</w:t>
      </w:r>
      <w:r w:rsidR="008024E9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3A29DE">
        <w:rPr>
          <w:rFonts w:ascii="標楷體" w:eastAsia="標楷體" w:hAnsi="標楷體" w:cs="標楷體" w:hint="eastAsia"/>
          <w:kern w:val="2"/>
          <w:lang w:eastAsia="zh-TW"/>
        </w:rPr>
        <w:t>日災防業務</w:t>
      </w:r>
      <w:r w:rsidR="008024E9">
        <w:rPr>
          <w:rFonts w:ascii="標楷體" w:eastAsia="標楷體" w:hAnsi="標楷體" w:cs="標楷體" w:hint="eastAsia"/>
          <w:kern w:val="2"/>
          <w:lang w:eastAsia="zh-TW"/>
        </w:rPr>
        <w:t>督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導</w:t>
      </w:r>
      <w:r w:rsidR="003A29DE">
        <w:rPr>
          <w:rFonts w:ascii="標楷體" w:eastAsia="標楷體" w:hAnsi="標楷體" w:cs="標楷體" w:hint="eastAsia"/>
          <w:kern w:val="2"/>
          <w:lang w:eastAsia="zh-TW"/>
        </w:rPr>
        <w:t>評</w:t>
      </w:r>
      <w:r w:rsidR="008024E9">
        <w:rPr>
          <w:rFonts w:ascii="標楷體" w:eastAsia="標楷體" w:hAnsi="標楷體" w:cs="標楷體" w:hint="eastAsia"/>
          <w:kern w:val="2"/>
          <w:lang w:eastAsia="zh-TW"/>
        </w:rPr>
        <w:t>鑑改進部分</w:t>
      </w:r>
      <w:r w:rsidR="003A29DE">
        <w:rPr>
          <w:rFonts w:ascii="標楷體" w:eastAsia="標楷體" w:hAnsi="標楷體" w:cs="標楷體" w:hint="eastAsia"/>
          <w:kern w:val="2"/>
          <w:lang w:eastAsia="zh-TW"/>
        </w:rPr>
        <w:t>請各單位配合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23C09">
        <w:rPr>
          <w:rFonts w:ascii="標楷體" w:eastAsia="標楷體" w:hAnsi="標楷體" w:cs="標楷體" w:hint="eastAsia"/>
          <w:kern w:val="2"/>
          <w:lang w:eastAsia="zh-TW"/>
        </w:rPr>
        <w:t>消防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195C50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7717E" w:rsidRPr="0045222B" w:rsidRDefault="003A29DE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B81C6A">
        <w:rPr>
          <w:rFonts w:ascii="標楷體" w:eastAsia="標楷體" w:hAnsi="標楷體" w:cs="標楷體" w:hint="eastAsia"/>
          <w:kern w:val="2"/>
          <w:lang w:eastAsia="zh-TW"/>
        </w:rPr>
        <w:t>腸病毒及茲卡持續加強疫情監視，有關東引病患處置部分，主任需保持警覺態度，局長需親自聯繫衛生所主任，電話需24小時保持暢通，教育輔導公費生應視病猶親態度服務鄉親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衛生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621BFF" w:rsidRPr="0045222B" w:rsidRDefault="00B20542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54008">
        <w:rPr>
          <w:rFonts w:ascii="標楷體" w:eastAsia="標楷體" w:hAnsi="標楷體" w:cs="標楷體" w:hint="eastAsia"/>
          <w:kern w:val="2"/>
          <w:lang w:eastAsia="zh-TW"/>
        </w:rPr>
        <w:t>津沙海堤完工後相關事宜請追蹤、鄉親反應盜採砂石情形需了解、旅運大樓完工計畫需每週</w:t>
      </w:r>
      <w:r w:rsidR="00D50DF7" w:rsidRPr="00D50DF7">
        <w:rPr>
          <w:rFonts w:ascii="標楷體" w:eastAsia="標楷體" w:hAnsi="標楷體" w:cs="標楷體" w:hint="eastAsia"/>
          <w:kern w:val="2"/>
          <w:lang w:eastAsia="zh-TW"/>
        </w:rPr>
        <w:t>訂出</w:t>
      </w:r>
      <w:r w:rsidR="00F54008">
        <w:rPr>
          <w:rFonts w:ascii="標楷體" w:eastAsia="標楷體" w:hAnsi="標楷體" w:cs="標楷體" w:hint="eastAsia"/>
          <w:kern w:val="2"/>
          <w:lang w:eastAsia="zh-TW"/>
        </w:rPr>
        <w:t>進度、每週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局長</w:t>
      </w:r>
      <w:r w:rsidR="00F54008">
        <w:rPr>
          <w:rFonts w:ascii="標楷體" w:eastAsia="標楷體" w:hAnsi="標楷體" w:cs="標楷體" w:hint="eastAsia"/>
          <w:kern w:val="2"/>
          <w:lang w:eastAsia="zh-TW"/>
        </w:rPr>
        <w:t>開會追蹤、北竿生活圈道路配合北竿衛生所興建工程納入</w:t>
      </w:r>
      <w:r w:rsidR="000B3A6C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22785" w:rsidRPr="0045222B">
        <w:rPr>
          <w:rFonts w:ascii="標楷體" w:eastAsia="標楷體" w:hAnsi="標楷體" w:cs="標楷體"/>
          <w:kern w:val="2"/>
        </w:rPr>
        <w:t>(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022785" w:rsidRPr="0045222B">
        <w:rPr>
          <w:rFonts w:ascii="標楷體" w:eastAsia="標楷體" w:hAnsi="標楷體" w:cs="標楷體"/>
          <w:kern w:val="2"/>
        </w:rPr>
        <w:t>局</w:t>
      </w:r>
      <w:r w:rsidR="00F54008">
        <w:rPr>
          <w:rFonts w:ascii="標楷體" w:eastAsia="標楷體" w:hAnsi="標楷體" w:cs="標楷體" w:hint="eastAsia"/>
          <w:kern w:val="2"/>
          <w:lang w:eastAsia="zh-TW"/>
        </w:rPr>
        <w:t>、衛生局</w:t>
      </w:r>
      <w:r w:rsidR="00022785" w:rsidRPr="0045222B">
        <w:rPr>
          <w:rFonts w:ascii="標楷體" w:eastAsia="標楷體" w:hAnsi="標楷體" w:cs="標楷體"/>
          <w:kern w:val="2"/>
        </w:rPr>
        <w:t>)</w:t>
      </w:r>
    </w:p>
    <w:p w:rsidR="00022785" w:rsidRPr="0045222B" w:rsidRDefault="00021E49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C1467">
        <w:rPr>
          <w:rFonts w:ascii="標楷體" w:eastAsia="標楷體" w:hAnsi="標楷體" w:cs="標楷體" w:hint="eastAsia"/>
          <w:kern w:val="2"/>
          <w:lang w:eastAsia="zh-TW"/>
        </w:rPr>
        <w:t>戶外音樂會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7C1467">
        <w:rPr>
          <w:rFonts w:ascii="標楷體" w:eastAsia="標楷體" w:hAnsi="標楷體" w:cs="標楷體" w:hint="eastAsia"/>
          <w:kern w:val="2"/>
          <w:lang w:eastAsia="zh-TW"/>
        </w:rPr>
        <w:t>可檢討有無改進空間，讓效益發揮更好</w:t>
      </w:r>
      <w:r w:rsidR="00195C5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22785" w:rsidRPr="0045222B">
        <w:rPr>
          <w:rFonts w:ascii="標楷體" w:eastAsia="標楷體" w:hAnsi="標楷體" w:cs="標楷體"/>
          <w:kern w:val="2"/>
        </w:rPr>
        <w:t>(</w:t>
      </w:r>
      <w:r w:rsidR="007C1467">
        <w:rPr>
          <w:rFonts w:ascii="標楷體" w:eastAsia="標楷體" w:hAnsi="標楷體" w:cs="標楷體" w:hint="eastAsia"/>
          <w:kern w:val="2"/>
          <w:lang w:eastAsia="zh-TW"/>
        </w:rPr>
        <w:t>觀光局</w:t>
      </w:r>
      <w:r w:rsidR="00022785" w:rsidRPr="0045222B">
        <w:rPr>
          <w:rFonts w:ascii="標楷體" w:eastAsia="標楷體" w:hAnsi="標楷體" w:cs="標楷體"/>
          <w:kern w:val="2"/>
        </w:rPr>
        <w:t>)</w:t>
      </w:r>
    </w:p>
    <w:p w:rsidR="00621BFF" w:rsidRPr="0045222B" w:rsidRDefault="00833C32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A03ECD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C1467">
        <w:rPr>
          <w:rFonts w:ascii="標楷體" w:eastAsia="標楷體" w:hAnsi="標楷體" w:cs="標楷體" w:hint="eastAsia"/>
          <w:kern w:val="2"/>
          <w:lang w:eastAsia="zh-TW"/>
        </w:rPr>
        <w:t>介壽市場公文追蹤、經濟部重大投資有關酒廠品質提升部分需積極追蹤、工業局來訪行程縣長室列管</w:t>
      </w:r>
      <w:r w:rsidR="004A4C4C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建設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022785" w:rsidRPr="0045222B" w:rsidRDefault="00833C32" w:rsidP="00255CF6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D60C03">
        <w:rPr>
          <w:rFonts w:ascii="標楷體" w:eastAsia="標楷體" w:hAnsi="標楷體" w:cs="標楷體" w:hint="eastAsia"/>
          <w:kern w:val="2"/>
          <w:lang w:eastAsia="zh-TW"/>
        </w:rPr>
        <w:t>馬祖亮島史前文化需持續推動，文物館亮島人展覽專區擇期</w:t>
      </w:r>
      <w:r w:rsidR="00D60C03" w:rsidRPr="00D60C03">
        <w:rPr>
          <w:rFonts w:ascii="標楷體" w:eastAsia="標楷體" w:hAnsi="標楷體" w:cs="標楷體" w:hint="eastAsia"/>
          <w:kern w:val="2"/>
          <w:lang w:eastAsia="zh-TW"/>
        </w:rPr>
        <w:t>開幕</w:t>
      </w:r>
      <w:r w:rsidR="00D60C03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D60C03">
        <w:rPr>
          <w:rFonts w:ascii="標楷體" w:eastAsia="標楷體" w:hAnsi="標楷體" w:cs="標楷體" w:hint="eastAsia"/>
          <w:kern w:val="2"/>
          <w:lang w:eastAsia="zh-TW"/>
        </w:rPr>
        <w:t>能創造新聞亮點。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255CF6"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2D3D05" w:rsidRDefault="00D33A0B" w:rsidP="001B5C35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D60C03">
        <w:rPr>
          <w:rFonts w:ascii="標楷體" w:eastAsia="標楷體" w:hAnsi="標楷體" w:cs="標楷體" w:hint="eastAsia"/>
          <w:kern w:val="2"/>
          <w:lang w:eastAsia="zh-TW"/>
        </w:rPr>
        <w:t>9月10日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星期六</w:t>
      </w:r>
      <w:r w:rsidR="00D60C03">
        <w:rPr>
          <w:rFonts w:ascii="標楷體" w:eastAsia="標楷體" w:hAnsi="標楷體" w:cs="標楷體" w:hint="eastAsia"/>
          <w:kern w:val="2"/>
          <w:lang w:eastAsia="zh-TW"/>
        </w:rPr>
        <w:t>需補上班、9月20日地方決策研究班、9月29日政策傳承與創新</w:t>
      </w:r>
      <w:r w:rsidR="00255CF6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D60C03">
        <w:rPr>
          <w:rFonts w:ascii="標楷體" w:eastAsia="標楷體" w:hAnsi="標楷體" w:cs="標楷體" w:hint="eastAsia"/>
          <w:kern w:val="2"/>
          <w:lang w:eastAsia="zh-TW"/>
        </w:rPr>
        <w:t>踴躍派員參加、爾後研習地點可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考慮</w:t>
      </w:r>
      <w:r w:rsidR="00D60C03">
        <w:rPr>
          <w:rFonts w:ascii="標楷體" w:eastAsia="標楷體" w:hAnsi="標楷體" w:cs="標楷體" w:hint="eastAsia"/>
          <w:kern w:val="2"/>
          <w:lang w:eastAsia="zh-TW"/>
        </w:rPr>
        <w:t>用縣府地下室或三樓以利主管可就近參加</w:t>
      </w:r>
      <w:r w:rsidR="00F2140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255CF6">
        <w:rPr>
          <w:rFonts w:ascii="標楷體" w:eastAsia="標楷體" w:hAnsi="標楷體" w:cs="標楷體" w:hint="eastAsia"/>
          <w:kern w:val="2"/>
          <w:lang w:eastAsia="zh-TW"/>
        </w:rPr>
        <w:t>人事室、各單位</w:t>
      </w:r>
      <w:r w:rsidR="00F2140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50DF7" w:rsidRDefault="00213F36" w:rsidP="001B5C35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D60C03">
        <w:rPr>
          <w:rFonts w:ascii="標楷體" w:eastAsia="標楷體" w:hAnsi="標楷體" w:cs="標楷體" w:hint="eastAsia"/>
          <w:kern w:val="2"/>
          <w:lang w:eastAsia="zh-TW"/>
        </w:rPr>
        <w:t>夜間公車及假日觀光公車</w:t>
      </w:r>
      <w:r w:rsidR="00F2238D">
        <w:rPr>
          <w:rFonts w:ascii="標楷體" w:eastAsia="標楷體" w:hAnsi="標楷體" w:cs="標楷體" w:hint="eastAsia"/>
          <w:kern w:val="2"/>
          <w:lang w:eastAsia="zh-TW"/>
        </w:rPr>
        <w:t>今年度成效不佳，公車處需整體評估及離島一併納入，做未來106年參考。台馬之星保固會議積極召開、請委員參加，釐清責任，並研擬具體做法，10月立榮訂位</w:t>
      </w:r>
      <w:r w:rsidR="00E57E9B">
        <w:rPr>
          <w:rFonts w:ascii="標楷體" w:eastAsia="標楷體" w:hAnsi="標楷體" w:cs="標楷體" w:hint="eastAsia"/>
          <w:kern w:val="2"/>
          <w:lang w:eastAsia="zh-TW"/>
        </w:rPr>
        <w:t>狀況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隨時注意</w:t>
      </w:r>
      <w:r w:rsidR="00E57E9B">
        <w:rPr>
          <w:rFonts w:ascii="標楷體" w:eastAsia="標楷體" w:hAnsi="標楷體" w:cs="標楷體" w:hint="eastAsia"/>
          <w:kern w:val="2"/>
          <w:lang w:eastAsia="zh-TW"/>
        </w:rPr>
        <w:t>，必要時要加班</w:t>
      </w:r>
      <w:r w:rsidR="00914849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213F36" w:rsidRDefault="00D50DF7" w:rsidP="001B5C35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14849" w:rsidRPr="00914849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914849">
        <w:rPr>
          <w:rFonts w:ascii="標楷體" w:eastAsia="標楷體" w:hAnsi="標楷體" w:cs="標楷體" w:hint="eastAsia"/>
          <w:kern w:val="2"/>
          <w:lang w:eastAsia="zh-TW"/>
        </w:rPr>
        <w:t>交通</w:t>
      </w:r>
      <w:r w:rsidR="00914849" w:rsidRPr="00914849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D50DF7" w:rsidRDefault="00E57E9B" w:rsidP="001B5C35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九、各單位使用會議室時，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注意</w:t>
      </w:r>
      <w:r>
        <w:rPr>
          <w:rFonts w:ascii="標楷體" w:eastAsia="標楷體" w:hAnsi="標楷體" w:cs="標楷體" w:hint="eastAsia"/>
          <w:kern w:val="2"/>
          <w:lang w:eastAsia="zh-TW"/>
        </w:rPr>
        <w:t>用便當後需垃圾分類，廚餘處理。</w:t>
      </w:r>
    </w:p>
    <w:p w:rsidR="00E57E9B" w:rsidRDefault="00D50DF7" w:rsidP="005A21F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A21F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57E9B" w:rsidRPr="00E57E9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E57E9B">
        <w:rPr>
          <w:rFonts w:ascii="標楷體" w:eastAsia="標楷體" w:hAnsi="標楷體" w:cs="標楷體" w:hint="eastAsia"/>
          <w:kern w:val="2"/>
          <w:lang w:eastAsia="zh-TW"/>
        </w:rPr>
        <w:t>秘書室</w:t>
      </w:r>
      <w:r w:rsidR="00E57E9B" w:rsidRPr="00E57E9B">
        <w:rPr>
          <w:rFonts w:ascii="標楷體" w:eastAsia="標楷體" w:hAnsi="標楷體" w:cs="標楷體" w:hint="eastAsia"/>
          <w:kern w:val="2"/>
          <w:lang w:eastAsia="zh-TW"/>
        </w:rPr>
        <w:t>、各單位)</w:t>
      </w:r>
    </w:p>
    <w:p w:rsidR="00D50DF7" w:rsidRDefault="00E57E9B" w:rsidP="001B5C35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十、環保志工相關活動需轉化實際效益，朝更高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更好品質環境標準態度努力。</w:t>
      </w:r>
    </w:p>
    <w:p w:rsidR="00E57E9B" w:rsidRDefault="00D50DF7" w:rsidP="005A21F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A21F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D50DF7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環保</w:t>
      </w:r>
      <w:r w:rsidRPr="00D50DF7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D50DF7" w:rsidRDefault="00D50DF7" w:rsidP="001B5C35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十一、王參議所提9月19日至9月23日臨時會，差假及送議會資料需注意。</w:t>
      </w:r>
    </w:p>
    <w:p w:rsidR="00D50DF7" w:rsidRDefault="00D50DF7" w:rsidP="005A21F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A21F4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D50DF7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FB0AF2" w:rsidRDefault="00FB0AF2" w:rsidP="005A21F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kern w:val="2"/>
        </w:rPr>
      </w:pPr>
      <w:r w:rsidRPr="0045222B">
        <w:rPr>
          <w:rFonts w:ascii="標楷體" w:eastAsia="標楷體" w:hAnsi="標楷體" w:cs="標楷體"/>
          <w:kern w:val="2"/>
        </w:rPr>
        <w:t>擬辦：奉核可後，擬以電子郵件傳送各單位主管續辦，並公布於本府網站。</w:t>
      </w:r>
    </w:p>
    <w:sectPr w:rsidR="00D631B5" w:rsidRPr="0045222B" w:rsidSect="00520CBC">
      <w:pgSz w:w="11906" w:h="16838"/>
      <w:pgMar w:top="993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E3" w:rsidRDefault="00CC03E3" w:rsidP="008276E4">
      <w:r>
        <w:separator/>
      </w:r>
    </w:p>
  </w:endnote>
  <w:endnote w:type="continuationSeparator" w:id="0">
    <w:p w:rsidR="00CC03E3" w:rsidRDefault="00CC03E3" w:rsidP="0082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E3" w:rsidRDefault="00CC03E3" w:rsidP="008276E4">
      <w:r>
        <w:separator/>
      </w:r>
    </w:p>
  </w:footnote>
  <w:footnote w:type="continuationSeparator" w:id="0">
    <w:p w:rsidR="00CC03E3" w:rsidRDefault="00CC03E3" w:rsidP="0082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21E49"/>
    <w:rsid w:val="00022785"/>
    <w:rsid w:val="000676AF"/>
    <w:rsid w:val="00073609"/>
    <w:rsid w:val="0008488E"/>
    <w:rsid w:val="000B3A6C"/>
    <w:rsid w:val="000C4A04"/>
    <w:rsid w:val="000D535D"/>
    <w:rsid w:val="00166AA7"/>
    <w:rsid w:val="0018678D"/>
    <w:rsid w:val="00195C50"/>
    <w:rsid w:val="001B5C35"/>
    <w:rsid w:val="001C1F21"/>
    <w:rsid w:val="001E02BC"/>
    <w:rsid w:val="0021201C"/>
    <w:rsid w:val="00213F36"/>
    <w:rsid w:val="00216D81"/>
    <w:rsid w:val="00221B23"/>
    <w:rsid w:val="002410E9"/>
    <w:rsid w:val="00255CF6"/>
    <w:rsid w:val="002611C4"/>
    <w:rsid w:val="00276843"/>
    <w:rsid w:val="002D3D05"/>
    <w:rsid w:val="002E3F25"/>
    <w:rsid w:val="00342C4D"/>
    <w:rsid w:val="00350F25"/>
    <w:rsid w:val="00351478"/>
    <w:rsid w:val="003518C1"/>
    <w:rsid w:val="003A29DE"/>
    <w:rsid w:val="003A4E05"/>
    <w:rsid w:val="003B5605"/>
    <w:rsid w:val="0045222B"/>
    <w:rsid w:val="00491831"/>
    <w:rsid w:val="004929C3"/>
    <w:rsid w:val="004A4C4C"/>
    <w:rsid w:val="004F5BF7"/>
    <w:rsid w:val="004F6C10"/>
    <w:rsid w:val="00517BC5"/>
    <w:rsid w:val="00520CBC"/>
    <w:rsid w:val="00523C09"/>
    <w:rsid w:val="005407F6"/>
    <w:rsid w:val="00553529"/>
    <w:rsid w:val="005563D5"/>
    <w:rsid w:val="00587A32"/>
    <w:rsid w:val="005A21F4"/>
    <w:rsid w:val="005F6C76"/>
    <w:rsid w:val="00621BFF"/>
    <w:rsid w:val="00643BB9"/>
    <w:rsid w:val="006454E5"/>
    <w:rsid w:val="00652155"/>
    <w:rsid w:val="00673E5A"/>
    <w:rsid w:val="006C31C3"/>
    <w:rsid w:val="007057D5"/>
    <w:rsid w:val="007C1467"/>
    <w:rsid w:val="008024E9"/>
    <w:rsid w:val="008132B8"/>
    <w:rsid w:val="008276E4"/>
    <w:rsid w:val="00833C32"/>
    <w:rsid w:val="008469A1"/>
    <w:rsid w:val="008511F6"/>
    <w:rsid w:val="00852515"/>
    <w:rsid w:val="0088363E"/>
    <w:rsid w:val="0088582D"/>
    <w:rsid w:val="008B36EB"/>
    <w:rsid w:val="008B5CA9"/>
    <w:rsid w:val="008D34B4"/>
    <w:rsid w:val="00914849"/>
    <w:rsid w:val="00917A08"/>
    <w:rsid w:val="009433F0"/>
    <w:rsid w:val="009515C4"/>
    <w:rsid w:val="00983A75"/>
    <w:rsid w:val="009B38BB"/>
    <w:rsid w:val="009F4CA7"/>
    <w:rsid w:val="00A03ECD"/>
    <w:rsid w:val="00A2017A"/>
    <w:rsid w:val="00A20973"/>
    <w:rsid w:val="00A24148"/>
    <w:rsid w:val="00A60DC7"/>
    <w:rsid w:val="00A7717E"/>
    <w:rsid w:val="00AD0A1E"/>
    <w:rsid w:val="00AE224D"/>
    <w:rsid w:val="00B20542"/>
    <w:rsid w:val="00B237BF"/>
    <w:rsid w:val="00B42FDC"/>
    <w:rsid w:val="00B45803"/>
    <w:rsid w:val="00B75269"/>
    <w:rsid w:val="00B75DCA"/>
    <w:rsid w:val="00B81C6A"/>
    <w:rsid w:val="00C3020E"/>
    <w:rsid w:val="00C33CA9"/>
    <w:rsid w:val="00CB678B"/>
    <w:rsid w:val="00CB75B4"/>
    <w:rsid w:val="00CC03E3"/>
    <w:rsid w:val="00CE0401"/>
    <w:rsid w:val="00D332B3"/>
    <w:rsid w:val="00D33A0B"/>
    <w:rsid w:val="00D35BB2"/>
    <w:rsid w:val="00D50DF7"/>
    <w:rsid w:val="00D60C03"/>
    <w:rsid w:val="00D631B5"/>
    <w:rsid w:val="00D85D76"/>
    <w:rsid w:val="00D93E35"/>
    <w:rsid w:val="00DC5D90"/>
    <w:rsid w:val="00DE1D88"/>
    <w:rsid w:val="00E31543"/>
    <w:rsid w:val="00E36B17"/>
    <w:rsid w:val="00E57E9B"/>
    <w:rsid w:val="00E62ADD"/>
    <w:rsid w:val="00E81822"/>
    <w:rsid w:val="00EA7478"/>
    <w:rsid w:val="00ED2A1A"/>
    <w:rsid w:val="00F079B1"/>
    <w:rsid w:val="00F11840"/>
    <w:rsid w:val="00F1280E"/>
    <w:rsid w:val="00F2140F"/>
    <w:rsid w:val="00F2238D"/>
    <w:rsid w:val="00F54008"/>
    <w:rsid w:val="00F74CDA"/>
    <w:rsid w:val="00FB0AF2"/>
    <w:rsid w:val="00FE0A3B"/>
    <w:rsid w:val="00FE2C6D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F8C3-19B1-4A1C-9BEE-98477BE0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2016-08-22T06:21:00Z</cp:lastPrinted>
  <dcterms:created xsi:type="dcterms:W3CDTF">2017-06-21T08:20:00Z</dcterms:created>
  <dcterms:modified xsi:type="dcterms:W3CDTF">2017-06-21T08:20:00Z</dcterms:modified>
</cp:coreProperties>
</file>